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endnotes.xml" ContentType="application/vnd.openxmlformats-officedocument.wordprocessingml.endnotes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numbering.xml" ContentType="application/vnd.openxmlformats-officedocument.wordprocessingml.numbering+xml"/>
  <Override PartName="/word/glossary/document.xml" ContentType="application/vnd.openxmlformats-officedocument.wordprocessingml.document.glossary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widowControl w:val="false"/>
        <w:pBdr/>
        <w:spacing w:after="0" w:line="360" w:lineRule="auto"/>
        <w:ind/>
        <w:jc w:val="center"/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 xml:space="preserve">Министерство науки и высшего образования Российской Федерации 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</w:r>
    </w:p>
    <w:p>
      <w:pPr>
        <w:widowControl w:val="false"/>
        <w:pBdr/>
        <w:spacing w:after="0" w:line="240" w:lineRule="auto"/>
        <w:ind/>
        <w:jc w:val="center"/>
        <w:rPr>
          <w:rFonts w:ascii="Times New Roman" w:hAnsi="Times New Roman" w:eastAsia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Федеральное государственное автономное образовательное учреждение высшего образования</w:t>
      </w:r>
      <w:r>
        <w:rPr>
          <w:rFonts w:ascii="Times New Roman" w:hAnsi="Times New Roman" w:eastAsia="Times New Roman" w:cs="Times New Roman"/>
          <w:color w:val="ff0000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color w:val="ff0000"/>
          <w:sz w:val="24"/>
          <w:szCs w:val="24"/>
          <w:lang w:eastAsia="ru-RU"/>
        </w:rPr>
      </w:r>
    </w:p>
    <w:p>
      <w:pPr>
        <w:widowControl w:val="false"/>
        <w:pBdr/>
        <w:spacing w:after="0" w:line="240" w:lineRule="auto"/>
        <w:ind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«НАЦИОНАЛЬНЫЙ ИССЛЕДОВАТЕЛЬСКИЙ НИЖЕГОРОДСКИЙ ГОСУДАРСТВЕННЫЙ УНИВЕРСИТЕТ ИМ. Н.И. ЛОБАЧЕВСКОГО»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</w:p>
    <w:p>
      <w:pPr>
        <w:pBdr/>
        <w:spacing w:line="360" w:lineRule="auto"/>
        <w:ind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(ННГУ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им. Н.И. Лобачевского)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УДК 004.896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 w:left="54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УТВЕРЖДАЮ</w:t>
      </w:r>
      <w:r>
        <w:rPr>
          <w:rFonts w:ascii="Times New Roman" w:hAnsi="Times New Roman" w:cs="Times New Roman"/>
          <w:sz w:val="24"/>
          <w:szCs w:val="24"/>
        </w:rPr>
        <w:br/>
        <w:t xml:space="preserve">Проректор по науке и инновациям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 w:left="54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 М.Ю. Грязнов</w:t>
      </w:r>
      <w:r>
        <w:rPr>
          <w:rFonts w:ascii="Times New Roman" w:hAnsi="Times New Roman" w:cs="Times New Roman"/>
          <w:sz w:val="24"/>
          <w:szCs w:val="24"/>
        </w:rPr>
        <w:br/>
        <w:t xml:space="preserve">«    »_________2024 г.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240" w:lineRule="auto"/>
        <w:ind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ОТЧЁТ</w:t>
      </w:r>
      <w:r>
        <w:rPr>
          <w:rFonts w:ascii="Times New Roman" w:hAnsi="Times New Roman" w:cs="Times New Roman"/>
          <w:sz w:val="24"/>
          <w:szCs w:val="24"/>
        </w:rPr>
        <w:br/>
        <w:t xml:space="preserve">О НАУЧНО-ИССЛЕДОВАТЕЛЬСКОЙ РАБОТЕ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240" w:lineRule="auto"/>
        <w:ind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«РАЗРАБОТКА ДЕТЕКТОРА ЗРЕЛОСТИ РИТМОВ МОЗГА»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240" w:lineRule="auto"/>
        <w:ind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(заключительный этап)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Исполнитель НИ</w:t>
      </w:r>
      <w:r>
        <w:rPr>
          <w:rFonts w:ascii="Times New Roman" w:hAnsi="Times New Roman" w:cs="Times New Roman"/>
          <w:sz w:val="24"/>
          <w:szCs w:val="24"/>
        </w:rPr>
        <w:t xml:space="preserve">Р,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старший инженер-программист </w:t>
      </w:r>
      <w:r>
        <w:rPr>
          <w:rFonts w:ascii="Times New Roman" w:hAnsi="Times New Roman" w:cs="Times New Roman"/>
          <w:sz w:val="24"/>
          <w:szCs w:val="24"/>
        </w:rPr>
        <w:br/>
        <w:t xml:space="preserve">ка</w:t>
      </w:r>
      <w:r>
        <w:rPr>
          <w:rFonts w:ascii="Times New Roman" w:hAnsi="Times New Roman" w:cs="Times New Roman"/>
          <w:sz w:val="24"/>
          <w:szCs w:val="24"/>
        </w:rPr>
        <w:t xml:space="preserve">ндидат технических наук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_________ C.А. Пермяков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Нижний Новгород 2024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after="0" w:line="360" w:lineRule="auto"/>
        <w:ind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РЕФЕРАТ</w:t>
      </w: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pBdr/>
        <w:spacing w:line="360" w:lineRule="auto"/>
        <w:ind w:firstLine="720"/>
        <w:contextualSpacing w:val="tru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РАЗРАБОТКА ДЕТЕКТОРА ЗРЕЛОСТИ РИТМОВ МОЗГА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 w:firstLine="720"/>
        <w:contextualSpacing w:val="true"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Отчет выполнен в 1 части и содержит: страниц — 27, иллюстраций — 13, таблиц — 3, приложений — 1, в отчете использовано источников — 7.</w:t>
      </w:r>
      <w:r/>
    </w:p>
    <w:p>
      <w:pPr>
        <w:pBdr/>
        <w:spacing w:line="360" w:lineRule="auto"/>
        <w:ind w:firstLine="720"/>
        <w:contextualSpacing w:val="true"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В последние десятилетия интерес к исследованию ритмов головного мозга значительно возрос в связи с их значительной ролью в понимании нейрофизиологических процессов и потенциальной возможности использовать их в клинической практике. Автоматическая оценка ур</w:t>
      </w:r>
      <w:r>
        <w:rPr>
          <w:rFonts w:ascii="Times New Roman" w:hAnsi="Times New Roman" w:cs="Times New Roman"/>
          <w:sz w:val="24"/>
          <w:szCs w:val="24"/>
        </w:rPr>
        <w:t xml:space="preserve">овня зрелости ритмов головного мозга становится важным инструментом при планировании и оценке эффективности различных коррекционных методик, таких как </w:t>
      </w:r>
      <w:r>
        <w:rPr>
          <w:rFonts w:ascii="Times New Roman" w:hAnsi="Times New Roman" w:cs="Times New Roman"/>
          <w:sz w:val="24"/>
          <w:szCs w:val="24"/>
        </w:rPr>
        <w:t xml:space="preserve">нейробиоуправление</w:t>
      </w:r>
      <w:r>
        <w:rPr>
          <w:rFonts w:ascii="Times New Roman" w:hAnsi="Times New Roman" w:cs="Times New Roman"/>
          <w:sz w:val="24"/>
          <w:szCs w:val="24"/>
        </w:rPr>
        <w:t xml:space="preserve"> и другие технологии воздействия на мозг.</w:t>
      </w:r>
      <w:r/>
    </w:p>
    <w:p>
      <w:pPr>
        <w:pBdr/>
        <w:spacing w:line="360" w:lineRule="auto"/>
        <w:ind w:firstLine="720"/>
        <w:contextualSpacing w:val="true"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Ритмы мозга, включая альфа, бета, гамма, дель</w:t>
      </w:r>
      <w:r>
        <w:rPr>
          <w:rFonts w:ascii="Times New Roman" w:hAnsi="Times New Roman" w:cs="Times New Roman"/>
          <w:sz w:val="24"/>
          <w:szCs w:val="24"/>
        </w:rPr>
        <w:t xml:space="preserve">та и </w:t>
      </w:r>
      <w:r>
        <w:rPr>
          <w:rFonts w:ascii="Times New Roman" w:hAnsi="Times New Roman" w:cs="Times New Roman"/>
          <w:sz w:val="24"/>
          <w:szCs w:val="24"/>
        </w:rPr>
        <w:t xml:space="preserve">тета</w:t>
      </w:r>
      <w:r>
        <w:rPr>
          <w:rFonts w:ascii="Times New Roman" w:hAnsi="Times New Roman" w:cs="Times New Roman"/>
          <w:sz w:val="24"/>
          <w:szCs w:val="24"/>
        </w:rPr>
        <w:t xml:space="preserve"> волны, представляют собой различные паттерны электрической активности, которые связаны с различными когнитивными и физиологическими состояниями. Зрелость этих ритмов может указывать на текущее состояние мозговой активности и </w:t>
      </w:r>
      <w:r>
        <w:rPr>
          <w:rFonts w:ascii="Times New Roman" w:hAnsi="Times New Roman" w:cs="Times New Roman"/>
          <w:sz w:val="24"/>
          <w:szCs w:val="24"/>
        </w:rPr>
        <w:t xml:space="preserve">нейрофункциональных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озможностей индивида. Аномалии в этих ритмах часто коррелируют с различными неврологическими и психиатрическими расстройствами, такими как эпилепсия, депрессия и дефицит внимания.</w:t>
      </w:r>
      <w:r/>
    </w:p>
    <w:p>
      <w:pPr>
        <w:pBdr/>
        <w:spacing w:line="360" w:lineRule="auto"/>
        <w:ind w:firstLine="720"/>
        <w:contextualSpacing w:val="true"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Автоматическая оценка зрелости ритмов головн</w:t>
      </w:r>
      <w:r>
        <w:rPr>
          <w:rFonts w:ascii="Times New Roman" w:hAnsi="Times New Roman" w:cs="Times New Roman"/>
          <w:sz w:val="24"/>
          <w:szCs w:val="24"/>
        </w:rPr>
        <w:t xml:space="preserve">ого мозга предлагает значительные преимущества перед ручной более трудоемкой аналитикой. Во-первых, автоматизация расчетов позволяет стандартизировать и верифицировать процесс оценки, </w:t>
      </w:r>
      <w:r>
        <w:rPr>
          <w:rFonts w:ascii="Times New Roman" w:hAnsi="Times New Roman" w:cs="Times New Roman"/>
          <w:sz w:val="24"/>
          <w:szCs w:val="24"/>
        </w:rPr>
        <w:t xml:space="preserve">минимизируя</w:t>
      </w:r>
      <w:r>
        <w:rPr>
          <w:rFonts w:ascii="Times New Roman" w:hAnsi="Times New Roman" w:cs="Times New Roman"/>
          <w:sz w:val="24"/>
          <w:szCs w:val="24"/>
        </w:rPr>
        <w:t xml:space="preserve"> влияние субъективного человеческого фактора, что особенно ва</w:t>
      </w:r>
      <w:r>
        <w:rPr>
          <w:rFonts w:ascii="Times New Roman" w:hAnsi="Times New Roman" w:cs="Times New Roman"/>
          <w:sz w:val="24"/>
          <w:szCs w:val="24"/>
        </w:rPr>
        <w:t xml:space="preserve">жно при работе с накапливаемыми большими объемами данных. Во-вторых, это значительно ускоряет лечебного-диагностический процесс, что немаловажно в условиях клинической практики, где время играет критически важную роль. Последние практические результаты, ст</w:t>
      </w:r>
      <w:r>
        <w:rPr>
          <w:rFonts w:ascii="Times New Roman" w:hAnsi="Times New Roman" w:cs="Times New Roman"/>
          <w:sz w:val="24"/>
          <w:szCs w:val="24"/>
        </w:rPr>
        <w:t xml:space="preserve">андартизация методик </w:t>
      </w:r>
      <w:r>
        <w:rPr>
          <w:rFonts w:ascii="Times New Roman" w:hAnsi="Times New Roman" w:cs="Times New Roman"/>
          <w:sz w:val="24"/>
          <w:szCs w:val="24"/>
        </w:rPr>
        <w:t xml:space="preserve">нейробиоуправления</w:t>
      </w:r>
      <w:r>
        <w:rPr>
          <w:rFonts w:ascii="Times New Roman" w:hAnsi="Times New Roman" w:cs="Times New Roman"/>
          <w:sz w:val="24"/>
          <w:szCs w:val="24"/>
        </w:rPr>
        <w:t xml:space="preserve"> и современные алгоритмы цифровой обработки сигналов, при их корректном использовании способны выявлять сложные паттерны и тенденции в данных электроэнцефалографии (ЭЭГ), что делает возможным более точную оценку зрело</w:t>
      </w:r>
      <w:r>
        <w:rPr>
          <w:rFonts w:ascii="Times New Roman" w:hAnsi="Times New Roman" w:cs="Times New Roman"/>
          <w:sz w:val="24"/>
          <w:szCs w:val="24"/>
        </w:rPr>
        <w:t xml:space="preserve">сти ритмов мозга.</w:t>
      </w:r>
      <w:r/>
    </w:p>
    <w:p>
      <w:pPr>
        <w:pBdr/>
        <w:spacing w:line="360" w:lineRule="auto"/>
        <w:ind w:firstLine="720"/>
        <w:contextualSpacing w:val="true"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Интеграция детектора зрелости ритмов в процесс планирования и оценки коррекционных методик, таких как </w:t>
      </w:r>
      <w:r>
        <w:rPr>
          <w:rFonts w:ascii="Times New Roman" w:hAnsi="Times New Roman" w:cs="Times New Roman"/>
          <w:sz w:val="24"/>
          <w:szCs w:val="24"/>
        </w:rPr>
        <w:t xml:space="preserve">нейробиоуправление</w:t>
      </w:r>
      <w:r>
        <w:rPr>
          <w:rFonts w:ascii="Times New Roman" w:hAnsi="Times New Roman" w:cs="Times New Roman"/>
          <w:sz w:val="24"/>
          <w:szCs w:val="24"/>
        </w:rPr>
        <w:t xml:space="preserve">, открывает новые горизонты в эффективности терапий. </w:t>
      </w:r>
      <w:r>
        <w:rPr>
          <w:rFonts w:ascii="Times New Roman" w:hAnsi="Times New Roman" w:cs="Times New Roman"/>
          <w:sz w:val="24"/>
          <w:szCs w:val="24"/>
        </w:rPr>
        <w:t xml:space="preserve">Нейробиоуправление</w:t>
      </w:r>
      <w:r>
        <w:rPr>
          <w:rFonts w:ascii="Times New Roman" w:hAnsi="Times New Roman" w:cs="Times New Roman"/>
          <w:sz w:val="24"/>
          <w:szCs w:val="24"/>
        </w:rPr>
        <w:t xml:space="preserve">, базирующееся на принципах </w:t>
      </w:r>
      <w:r>
        <w:rPr>
          <w:rFonts w:ascii="Times New Roman" w:hAnsi="Times New Roman" w:cs="Times New Roman"/>
          <w:sz w:val="24"/>
          <w:szCs w:val="24"/>
        </w:rPr>
        <w:t xml:space="preserve">нейропластичности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использует ритмы мозга как функциональные маркеры для реального времени, чтобы обеспечить обратную связь, способствующую изменению </w:t>
      </w:r>
      <w:r>
        <w:rPr>
          <w:rFonts w:ascii="Times New Roman" w:hAnsi="Times New Roman" w:cs="Times New Roman"/>
          <w:sz w:val="24"/>
          <w:szCs w:val="24"/>
        </w:rPr>
        <w:t xml:space="preserve">мозговой активности для достижения оптимального состояния. Благодаря автоматической оценке возможна персонализация этих метод</w:t>
      </w:r>
      <w:r>
        <w:rPr>
          <w:rFonts w:ascii="Times New Roman" w:hAnsi="Times New Roman" w:cs="Times New Roman"/>
          <w:sz w:val="24"/>
          <w:szCs w:val="24"/>
        </w:rPr>
        <w:t xml:space="preserve">ик на основе индивидуальных нейрофизиологических характеристик пациента, что делает их более </w:t>
      </w:r>
      <w:r>
        <w:rPr>
          <w:rFonts w:ascii="Times New Roman" w:hAnsi="Times New Roman" w:cs="Times New Roman"/>
          <w:sz w:val="24"/>
          <w:szCs w:val="24"/>
        </w:rPr>
        <w:t xml:space="preserve">таргетированными</w:t>
      </w:r>
      <w:r>
        <w:rPr>
          <w:rFonts w:ascii="Times New Roman" w:hAnsi="Times New Roman" w:cs="Times New Roman"/>
          <w:sz w:val="24"/>
          <w:szCs w:val="24"/>
        </w:rPr>
        <w:t xml:space="preserve"> и результативными.</w:t>
      </w:r>
      <w:r/>
    </w:p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Объектом настоящей НИР </w:t>
      </w:r>
      <w:r>
        <w:rPr>
          <w:rFonts w:ascii="Times New Roman" w:hAnsi="Times New Roman" w:cs="Times New Roman"/>
          <w:sz w:val="24"/>
          <w:szCs w:val="24"/>
        </w:rPr>
        <w:t xml:space="preserve">является  детектор</w:t>
      </w:r>
      <w:r>
        <w:rPr>
          <w:rFonts w:ascii="Times New Roman" w:hAnsi="Times New Roman" w:cs="Times New Roman"/>
          <w:sz w:val="24"/>
          <w:szCs w:val="24"/>
        </w:rPr>
        <w:t xml:space="preserve">, использующий алгоритмы обработки ЭЭГ сигналов и характеристик, информативных для оце</w:t>
      </w:r>
      <w:r>
        <w:rPr>
          <w:rFonts w:ascii="Times New Roman" w:hAnsi="Times New Roman" w:cs="Times New Roman"/>
          <w:sz w:val="24"/>
          <w:szCs w:val="24"/>
        </w:rPr>
        <w:t xml:space="preserve">нки текущего функционального состояния головного мозга.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ходе выполнения НИР получены следующие результаты: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Разработан алгоритм автоматической оценки уровня зрелости ритмов головного мозга;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Разработано программное обеспечение для анализа электроэнце</w:t>
      </w:r>
      <w:r>
        <w:rPr>
          <w:rFonts w:ascii="Times New Roman" w:hAnsi="Times New Roman" w:cs="Times New Roman"/>
          <w:sz w:val="24"/>
          <w:szCs w:val="24"/>
        </w:rPr>
        <w:t xml:space="preserve">фалографической информации и автоматизированного расчета уровня зрелости ритмов.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Подана заявка на регистрацию результатов интеллектуальной деятельности по итогам разработки алгоритмов автоматической оценки зрелости ритмов мозга.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Полученные результаты</w:t>
      </w:r>
      <w:r>
        <w:rPr>
          <w:rFonts w:ascii="Times New Roman" w:hAnsi="Times New Roman" w:cs="Times New Roman"/>
          <w:sz w:val="24"/>
          <w:szCs w:val="24"/>
        </w:rPr>
        <w:t xml:space="preserve"> выполненных работ описаны в данном научном отчете.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firstLine="720"/>
        <w:jc w:val="both"/>
        <w:rPr>
          <w:sz w:val="24"/>
          <w:szCs w:val="28"/>
        </w:rPr>
      </w:pPr>
      <w:r>
        <w:rPr>
          <w:rFonts w:ascii="Times New Roman" w:hAnsi="Times New Roman" w:eastAsia="Times New Roman" w:cs="Times New Roman"/>
          <w:i/>
          <w:color w:val="000000"/>
          <w:sz w:val="24"/>
          <w:szCs w:val="28"/>
        </w:rPr>
        <w:t xml:space="preserve">Ключевые слова:</w:t>
      </w:r>
      <w:r>
        <w:rPr>
          <w:rFonts w:ascii="Times New Roman" w:hAnsi="Times New Roman" w:eastAsia="Times New Roman" w:cs="Times New Roman"/>
          <w:color w:val="000000"/>
          <w:sz w:val="24"/>
          <w:szCs w:val="28"/>
        </w:rPr>
        <w:t xml:space="preserve"> оценка зрелости ритмики мозга, </w:t>
      </w:r>
      <w:r>
        <w:rPr>
          <w:rFonts w:ascii="Times New Roman" w:hAnsi="Times New Roman" w:eastAsia="Times New Roman" w:cs="Times New Roman"/>
          <w:color w:val="000000"/>
          <w:sz w:val="24"/>
          <w:szCs w:val="28"/>
        </w:rPr>
        <w:t xml:space="preserve">нейробиоуправление</w:t>
      </w:r>
      <w:r>
        <w:rPr>
          <w:rFonts w:ascii="Times New Roman" w:hAnsi="Times New Roman" w:eastAsia="Times New Roman" w:cs="Times New Roman"/>
          <w:color w:val="000000"/>
          <w:sz w:val="24"/>
          <w:szCs w:val="28"/>
        </w:rPr>
        <w:t xml:space="preserve">, усвоение ритмов, мультипликация, ЭЭГ</w:t>
      </w:r>
      <w:r>
        <w:rPr>
          <w:sz w:val="24"/>
          <w:szCs w:val="28"/>
        </w:rPr>
      </w:r>
      <w:r>
        <w:rPr>
          <w:sz w:val="24"/>
          <w:szCs w:val="28"/>
        </w:rPr>
      </w:r>
    </w:p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after="0" w:line="360" w:lineRule="auto"/>
        <w:ind/>
        <w:jc w:val="center"/>
        <w:rPr>
          <w:rFonts w:ascii="Times New Roman" w:hAnsi="Times New Roman" w:cs="Times New Roman"/>
          <w:b w:val="0"/>
          <w:bCs w:val="0"/>
          <w:sz w:val="40"/>
          <w:szCs w:val="40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СОДЕРЖАНИЕ</w:t>
      </w:r>
      <w:r>
        <w:rPr>
          <w:rFonts w:ascii="Times New Roman" w:hAnsi="Times New Roman" w:cs="Times New Roman"/>
          <w:b w:val="0"/>
          <w:bCs w:val="0"/>
          <w:sz w:val="40"/>
          <w:szCs w:val="40"/>
          <w:highlight w:val="none"/>
        </w:rPr>
      </w:r>
      <w:r>
        <w:rPr>
          <w:rFonts w:ascii="Times New Roman" w:hAnsi="Times New Roman" w:cs="Times New Roman"/>
          <w:b w:val="0"/>
          <w:bCs w:val="0"/>
          <w:sz w:val="40"/>
          <w:szCs w:val="40"/>
          <w:highlight w:val="none"/>
        </w:rPr>
      </w:r>
    </w:p>
    <w:sdt>
      <w:sdtPr>
        <w15:appearance w15:val="boundingBox"/>
        <w:placeholder>
          <w:docPart w:val="DefaultPlaceholder_TEXT"/>
        </w:placeholder>
        <w:docPartObj>
          <w:docPartGallery w:val="Table of Contents"/>
          <w:docPartUnique w:val="true"/>
        </w:docPartObj>
        <w:rPr>
          <w:rFonts w:ascii="Times New Roman" w:hAnsi="Times New Roman" w:cs="Times New Roman"/>
          <w:sz w:val="24"/>
          <w:szCs w:val="24"/>
          <w:highlight w:val="none"/>
        </w:rPr>
      </w:sdtPr>
      <w:sdtContent>
        <w:p>
          <w:pPr>
            <w:pStyle w:val="934"/>
            <w:pBdr/>
            <w:tabs>
              <w:tab w:val="right" w:leader="dot" w:pos="9026"/>
            </w:tabs>
            <w:spacing/>
            <w:ind/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</w:pPr>
          <w:r>
            <w:rPr>
              <w:rFonts w:ascii="Times New Roman" w:hAnsi="Times New Roman" w:eastAsia="Times New Roman" w:cs="Times New Roman"/>
              <w:b w:val="0"/>
              <w:bCs w:val="0"/>
              <w:sz w:val="32"/>
              <w:szCs w:val="32"/>
              <w:highlight w:val="none"/>
            </w:rPr>
          </w:r>
          <w:r>
            <w:rPr>
              <w:rFonts w:ascii="Times New Roman" w:hAnsi="Times New Roman" w:eastAsia="Times New Roman" w:cs="Times New Roman"/>
              <w:b w:val="0"/>
              <w:bCs w:val="0"/>
              <w:sz w:val="24"/>
              <w:szCs w:val="24"/>
            </w:rPr>
            <w:fldChar w:fldCharType="begin"/>
            <w:instrText xml:space="preserve">TOC \o "1-9" \h </w:instrText>
            <w:fldChar w:fldCharType="separate"/>
          </w:r>
          <w:r>
            <w:rPr>
              <w:rFonts w:ascii="Times New Roman" w:hAnsi="Times New Roman" w:eastAsia="Times New Roman" w:cs="Times New Roman"/>
              <w:b w:val="0"/>
              <w:bCs w:val="0"/>
              <w:sz w:val="24"/>
              <w:szCs w:val="24"/>
            </w:rPr>
          </w:r>
          <w:hyperlink w:tooltip="#_Toc1" w:anchor="_Toc1" w:history="1">
            <w:r>
              <w:rPr>
                <w:rStyle w:val="927"/>
                <w:b/>
                <w:bCs/>
              </w:rPr>
            </w:r>
            <w:r>
              <w:rPr>
                <w:rStyle w:val="927"/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ВВЕДЕНИЕ</w:t>
            </w:r>
            <w:r>
              <w:rPr>
                <w:rStyle w:val="927"/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fldChar w:fldCharType="begin"/>
              <w:instrText xml:space="preserve">PAGEREF _Toc1 \h</w:instrText>
              <w:fldChar w:fldCharType="separate"/>
              <w:t xml:space="preserve">5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b w:val="0"/>
              <w:bCs w:val="0"/>
              <w:sz w:val="24"/>
              <w:szCs w:val="24"/>
            </w:rPr>
          </w:r>
          <w:r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</w:r>
        </w:p>
        <w:p>
          <w:pPr>
            <w:pStyle w:val="934"/>
            <w:pBdr/>
            <w:tabs>
              <w:tab w:val="right" w:leader="dot" w:pos="9026"/>
            </w:tabs>
            <w:spacing/>
            <w:ind/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</w:pPr>
          <w:r/>
          <w:hyperlink w:tooltip="#_Toc2" w:anchor="_Toc2" w:history="1">
            <w:r>
              <w:rPr>
                <w:rStyle w:val="927"/>
                <w:b/>
                <w:bCs/>
              </w:rPr>
            </w:r>
            <w:r>
              <w:rPr>
                <w:rStyle w:val="927"/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ОСНОВНАЯ ЧАСТЬ ОТЧЁТА</w:t>
            </w:r>
            <w:r>
              <w:rPr>
                <w:rStyle w:val="927"/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fldChar w:fldCharType="begin"/>
              <w:instrText xml:space="preserve">PAGEREF _Toc2 \h</w:instrText>
              <w:fldChar w:fldCharType="separate"/>
              <w:t xml:space="preserve">7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b w:val="0"/>
              <w:bCs w:val="0"/>
              <w:sz w:val="24"/>
              <w:szCs w:val="24"/>
            </w:rPr>
          </w:r>
          <w:r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</w:r>
        </w:p>
        <w:p>
          <w:pPr>
            <w:pStyle w:val="935"/>
            <w:pBdr/>
            <w:tabs>
              <w:tab w:val="right" w:leader="dot" w:pos="9026"/>
            </w:tabs>
            <w:spacing/>
            <w:ind/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</w:pPr>
          <w:r/>
          <w:hyperlink w:tooltip="#_Toc3" w:anchor="_Toc3" w:history="1">
            <w:r>
              <w:rPr>
                <w:rStyle w:val="927"/>
                <w:b/>
                <w:bCs/>
              </w:rPr>
            </w:r>
            <w:r>
              <w:rPr>
                <w:rStyle w:val="927"/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1. Формализация параметров ЭЭГ сигнала при </w:t>
            </w:r>
            <w:r>
              <w:rPr>
                <w:rStyle w:val="927"/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не</w:t>
            </w:r>
            <w:r>
              <w:rPr>
                <w:rStyle w:val="927"/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йробиоуправлении</w:t>
            </w:r>
            <w:r>
              <w:rPr>
                <w:rStyle w:val="927"/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 для оценки зрелости</w:t>
            </w:r>
            <w:r>
              <w:rPr>
                <w:rStyle w:val="927"/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fldChar w:fldCharType="begin"/>
              <w:instrText xml:space="preserve">PAGEREF _Toc3 \h</w:instrText>
              <w:fldChar w:fldCharType="separate"/>
              <w:t xml:space="preserve">7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b w:val="0"/>
              <w:bCs w:val="0"/>
              <w:sz w:val="24"/>
              <w:szCs w:val="24"/>
            </w:rPr>
          </w:r>
          <w:r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</w:r>
        </w:p>
        <w:p>
          <w:pPr>
            <w:pStyle w:val="935"/>
            <w:pBdr/>
            <w:tabs>
              <w:tab w:val="right" w:leader="dot" w:pos="9026"/>
            </w:tabs>
            <w:spacing/>
            <w:ind/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</w:pPr>
          <w:r/>
          <w:hyperlink w:tooltip="#_Toc4" w:anchor="_Toc4" w:history="1">
            <w:r>
              <w:rPr>
                <w:rStyle w:val="927"/>
                <w:b/>
                <w:bCs/>
              </w:rPr>
            </w:r>
            <w:r>
              <w:rPr>
                <w:rStyle w:val="927"/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2. </w:t>
            </w:r>
            <w:r>
              <w:rPr>
                <w:rStyle w:val="927"/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Функциональная проба динамической </w:t>
            </w:r>
            <w:r>
              <w:rPr>
                <w:rStyle w:val="927"/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нейромодуляции</w:t>
            </w:r>
            <w:r>
              <w:rPr>
                <w:rStyle w:val="927"/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fldChar w:fldCharType="begin"/>
              <w:instrText xml:space="preserve">PAGEREF _Toc4 \h</w:instrText>
              <w:fldChar w:fldCharType="separate"/>
              <w:t xml:space="preserve">9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b w:val="0"/>
              <w:bCs w:val="0"/>
              <w:sz w:val="24"/>
              <w:szCs w:val="24"/>
            </w:rPr>
          </w:r>
          <w:r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</w:r>
        </w:p>
        <w:p>
          <w:pPr>
            <w:pStyle w:val="935"/>
            <w:pBdr/>
            <w:tabs>
              <w:tab w:val="right" w:leader="dot" w:pos="9026"/>
            </w:tabs>
            <w:spacing/>
            <w:ind/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</w:pPr>
          <w:r/>
          <w:hyperlink w:tooltip="#_Toc5" w:anchor="_Toc5" w:history="1">
            <w:r>
              <w:rPr>
                <w:rStyle w:val="927"/>
                <w:b/>
                <w:bCs/>
              </w:rPr>
            </w:r>
            <w:r>
              <w:rPr>
                <w:rStyle w:val="927"/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3. Описание алгоритма оценки зрелости </w:t>
            </w:r>
            <w:r>
              <w:rPr>
                <w:rStyle w:val="927"/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fldChar w:fldCharType="begin"/>
              <w:instrText xml:space="preserve">PAGEREF _Toc5 \h</w:instrText>
              <w:fldChar w:fldCharType="separate"/>
              <w:t xml:space="preserve">10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b w:val="0"/>
              <w:bCs w:val="0"/>
              <w:sz w:val="24"/>
              <w:szCs w:val="24"/>
            </w:rPr>
          </w:r>
          <w:r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</w:r>
        </w:p>
        <w:p>
          <w:pPr>
            <w:pStyle w:val="935"/>
            <w:pBdr/>
            <w:tabs>
              <w:tab w:val="right" w:leader="dot" w:pos="9026"/>
            </w:tabs>
            <w:spacing/>
            <w:ind/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</w:pPr>
          <w:r/>
          <w:hyperlink w:tooltip="#_Toc6" w:anchor="_Toc6" w:history="1">
            <w:r>
              <w:rPr>
                <w:rStyle w:val="927"/>
                <w:b/>
                <w:bCs/>
              </w:rPr>
            </w:r>
            <w:r>
              <w:rPr>
                <w:rStyle w:val="927"/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4. </w:t>
            </w:r>
            <w:r>
              <w:rPr>
                <w:rStyle w:val="927"/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Апробация  работы</w:t>
            </w:r>
            <w:r>
              <w:rPr>
                <w:rStyle w:val="927"/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 алгоритма</w:t>
            </w:r>
            <w:r>
              <w:rPr>
                <w:rStyle w:val="927"/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 оценки зрелости</w:t>
            </w:r>
            <w:r>
              <w:rPr>
                <w:rStyle w:val="927"/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fldChar w:fldCharType="begin"/>
              <w:instrText xml:space="preserve">PAGEREF _Toc6 \h</w:instrText>
              <w:fldChar w:fldCharType="separate"/>
              <w:t xml:space="preserve">15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b w:val="0"/>
              <w:bCs w:val="0"/>
              <w:sz w:val="24"/>
              <w:szCs w:val="24"/>
            </w:rPr>
          </w:r>
          <w:r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</w:r>
        </w:p>
        <w:p>
          <w:pPr>
            <w:pStyle w:val="935"/>
            <w:pBdr/>
            <w:tabs>
              <w:tab w:val="right" w:leader="dot" w:pos="9026"/>
            </w:tabs>
            <w:spacing/>
            <w:ind/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</w:pPr>
          <w:r/>
          <w:hyperlink w:tooltip="#_Toc7" w:anchor="_Toc7" w:history="1">
            <w:r>
              <w:rPr>
                <w:rStyle w:val="927"/>
                <w:b/>
                <w:bCs/>
              </w:rPr>
            </w:r>
            <w:r>
              <w:rPr>
                <w:rStyle w:val="927"/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5. Описание программного обеспечения для оценки зрелости</w:t>
            </w:r>
            <w:r>
              <w:rPr>
                <w:rStyle w:val="927"/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fldChar w:fldCharType="begin"/>
              <w:instrText xml:space="preserve">PAGEREF _Toc7 \h</w:instrText>
              <w:fldChar w:fldCharType="separate"/>
              <w:t xml:space="preserve">20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b w:val="0"/>
              <w:bCs w:val="0"/>
              <w:sz w:val="24"/>
              <w:szCs w:val="24"/>
            </w:rPr>
          </w:r>
          <w:r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</w:r>
        </w:p>
        <w:p>
          <w:pPr>
            <w:pStyle w:val="934"/>
            <w:pBdr/>
            <w:tabs>
              <w:tab w:val="right" w:leader="dot" w:pos="9026"/>
            </w:tabs>
            <w:spacing/>
            <w:ind/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</w:pPr>
          <w:r/>
          <w:hyperlink w:tooltip="#_Toc8" w:anchor="_Toc8" w:history="1">
            <w:r>
              <w:rPr>
                <w:rStyle w:val="927"/>
                <w:b/>
                <w:bCs/>
              </w:rPr>
            </w:r>
            <w:r>
              <w:rPr>
                <w:rStyle w:val="927"/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ЗАКЛЮЧЕНИЕ</w:t>
            </w:r>
            <w:r>
              <w:rPr>
                <w:rStyle w:val="927"/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fldChar w:fldCharType="begin"/>
              <w:instrText xml:space="preserve">PAGEREF _Toc8 \h</w:instrText>
              <w:fldChar w:fldCharType="separate"/>
              <w:t xml:space="preserve">24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b w:val="0"/>
              <w:bCs w:val="0"/>
              <w:sz w:val="24"/>
              <w:szCs w:val="24"/>
            </w:rPr>
          </w:r>
          <w:r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</w:r>
        </w:p>
        <w:p>
          <w:pPr>
            <w:pStyle w:val="934"/>
            <w:pBdr/>
            <w:tabs>
              <w:tab w:val="right" w:leader="dot" w:pos="9026"/>
            </w:tabs>
            <w:spacing/>
            <w:ind/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</w:pPr>
          <w:r/>
          <w:hyperlink w:tooltip="#_Toc9" w:anchor="_Toc9" w:history="1">
            <w:r>
              <w:rPr>
                <w:rStyle w:val="927"/>
                <w:b/>
                <w:bCs/>
              </w:rPr>
            </w:r>
            <w:r>
              <w:rPr>
                <w:rStyle w:val="927"/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ПРИЛОЖЕНИЯ</w:t>
            </w:r>
            <w:r>
              <w:rPr>
                <w:rStyle w:val="927"/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fldChar w:fldCharType="begin"/>
              <w:instrText xml:space="preserve">PAGEREF _Toc9 \h</w:instrText>
              <w:fldChar w:fldCharType="separate"/>
              <w:t xml:space="preserve">25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b w:val="0"/>
              <w:bCs w:val="0"/>
              <w:sz w:val="24"/>
              <w:szCs w:val="24"/>
            </w:rPr>
          </w:r>
          <w:r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</w:r>
        </w:p>
        <w:p>
          <w:pPr>
            <w:pStyle w:val="934"/>
            <w:pBdr/>
            <w:tabs>
              <w:tab w:val="right" w:leader="dot" w:pos="9026"/>
            </w:tabs>
            <w:spacing/>
            <w:ind/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</w:pPr>
          <w:r/>
          <w:hyperlink w:tooltip="#_Toc10" w:anchor="_Toc10" w:history="1">
            <w:r>
              <w:rPr>
                <w:rStyle w:val="927"/>
                <w:b/>
                <w:bCs/>
              </w:rPr>
            </w:r>
            <w:r>
              <w:rPr>
                <w:rStyle w:val="927"/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СПИСОК ИСПОЛЬЗОВАННЫХ ИСТОЧНИКОВ</w:t>
            </w:r>
            <w:r>
              <w:rPr>
                <w:rStyle w:val="927"/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fldChar w:fldCharType="begin"/>
              <w:instrText xml:space="preserve">PAGEREF _Toc10 \h</w:instrText>
              <w:fldChar w:fldCharType="separate"/>
              <w:t xml:space="preserve">27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b w:val="0"/>
              <w:bCs w:val="0"/>
              <w:sz w:val="24"/>
              <w:szCs w:val="24"/>
            </w:rPr>
          </w:r>
          <w:r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</w:r>
        </w:p>
        <w:p>
          <w:pPr>
            <w:pStyle w:val="934"/>
            <w:pBdr/>
            <w:tabs>
              <w:tab w:val="right" w:leader="dot" w:pos="9026"/>
            </w:tabs>
            <w:spacing/>
            <w:ind/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</w:pPr>
          <w:r>
            <w:rPr>
              <w:rFonts w:ascii="Times New Roman" w:hAnsi="Times New Roman" w:eastAsia="Times New Roman" w:cs="Times New Roman"/>
              <w:b w:val="0"/>
              <w:bCs w:val="0"/>
              <w:sz w:val="24"/>
              <w:szCs w:val="24"/>
            </w:rPr>
          </w:r>
          <w:r>
            <w:rPr>
              <w:rFonts w:ascii="Times New Roman" w:hAnsi="Times New Roman" w:eastAsia="Times New Roman" w:cs="Times New Roman"/>
              <w:b w:val="0"/>
              <w:bCs w:val="0"/>
              <w:sz w:val="24"/>
              <w:szCs w:val="24"/>
            </w:rPr>
          </w:r>
          <w:r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</w:r>
        </w:p>
        <w:p>
          <w:pPr>
            <w:pBdr/>
            <w:spacing/>
            <w:ind/>
            <w:rPr>
              <w:rFonts w:ascii="Times New Roman" w:hAnsi="Times New Roman" w:cs="Times New Roman"/>
              <w:b w:val="0"/>
              <w:bCs w:val="0"/>
              <w:sz w:val="32"/>
              <w:szCs w:val="32"/>
              <w:highlight w:val="none"/>
            </w:rPr>
          </w:pPr>
          <w:r>
            <w:rPr>
              <w:rFonts w:ascii="Times New Roman" w:hAnsi="Times New Roman" w:eastAsia="Times New Roman" w:cs="Times New Roman"/>
              <w:b w:val="0"/>
              <w:bCs w:val="0"/>
              <w:sz w:val="24"/>
              <w:szCs w:val="24"/>
            </w:rPr>
            <w:fldChar w:fldCharType="end"/>
          </w:r>
          <w:r>
            <w:rPr>
              <w:rFonts w:ascii="Times New Roman" w:hAnsi="Times New Roman" w:eastAsia="Times New Roman" w:cs="Times New Roman"/>
              <w:b w:val="0"/>
              <w:bCs w:val="0"/>
              <w:sz w:val="24"/>
              <w:szCs w:val="24"/>
            </w:rPr>
          </w:r>
          <w:r>
            <w:rPr>
              <w:rFonts w:ascii="Times New Roman" w:hAnsi="Times New Roman" w:cs="Times New Roman"/>
              <w:b w:val="0"/>
              <w:bCs w:val="0"/>
              <w:sz w:val="32"/>
              <w:szCs w:val="32"/>
              <w:highlight w:val="none"/>
            </w:rPr>
          </w:r>
        </w:p>
      </w:sdtContent>
    </w:sdt>
    <w:p>
      <w:pPr>
        <w:pBdr/>
        <w:spacing w:after="0" w:line="360" w:lineRule="auto"/>
        <w:ind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66"/>
        <w:pBdr/>
        <w:spacing/>
        <w:ind/>
        <w:jc w:val="center"/>
        <w:rPr>
          <w:rFonts w:ascii="Times New Roman" w:hAnsi="Times New Roman" w:cs="Times New Roman"/>
          <w:sz w:val="24"/>
          <w:szCs w:val="24"/>
        </w:rPr>
      </w:pPr>
      <w:r/>
      <w:bookmarkStart w:id="3" w:name="_Toc1"/>
      <w:r>
        <w:rPr>
          <w:rFonts w:ascii="Times New Roman" w:hAnsi="Times New Roman" w:cs="Times New Roman"/>
          <w:sz w:val="24"/>
          <w:szCs w:val="24"/>
        </w:rPr>
        <w:t xml:space="preserve">ВВЕДЕНИЕ</w:t>
      </w:r>
      <w:bookmarkEnd w:id="3"/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after="0"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современном динамичном обществе стресс становится одним из источников различных психофизиологических нарушений на фоне условно-здорового и патологическог</w:t>
      </w:r>
      <w:r>
        <w:rPr>
          <w:rFonts w:ascii="Times New Roman" w:hAnsi="Times New Roman" w:cs="Times New Roman"/>
          <w:sz w:val="24"/>
          <w:szCs w:val="24"/>
        </w:rPr>
        <w:t xml:space="preserve">о состояния организма. Одним из самых важных аспектов негативного влияния стресса является изменение функционального состояния мозга и снижение когнитивных возможностей.  Современная реабилитационная медицина активно развивает </w:t>
      </w:r>
      <w:r>
        <w:rPr>
          <w:rFonts w:ascii="Times New Roman" w:hAnsi="Times New Roman" w:cs="Times New Roman"/>
          <w:sz w:val="24"/>
          <w:szCs w:val="24"/>
        </w:rPr>
        <w:t xml:space="preserve">неинвазивные</w:t>
      </w:r>
      <w:r>
        <w:rPr>
          <w:rFonts w:ascii="Times New Roman" w:hAnsi="Times New Roman" w:cs="Times New Roman"/>
          <w:sz w:val="24"/>
          <w:szCs w:val="24"/>
        </w:rPr>
        <w:t xml:space="preserve"> методы стимуляци</w:t>
      </w:r>
      <w:r>
        <w:rPr>
          <w:rFonts w:ascii="Times New Roman" w:hAnsi="Times New Roman" w:cs="Times New Roman"/>
          <w:sz w:val="24"/>
          <w:szCs w:val="24"/>
        </w:rPr>
        <w:t xml:space="preserve">и мозга, ключевыми преимуществами которых являются отсутствие хирургических вмешательств, высокая персонализация и эффективность процедур.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after="0"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Одной из ведущих методик является сенсорная стимуляция, основанная на биологической обратной связи с использованием </w:t>
      </w:r>
      <w:r>
        <w:rPr>
          <w:rFonts w:ascii="Times New Roman" w:hAnsi="Times New Roman" w:cs="Times New Roman"/>
          <w:sz w:val="24"/>
          <w:szCs w:val="24"/>
        </w:rPr>
        <w:t xml:space="preserve">электроэнцефалограммы (ЭЭГ), благодаря ее </w:t>
      </w:r>
      <w:r>
        <w:rPr>
          <w:rFonts w:ascii="Times New Roman" w:hAnsi="Times New Roman" w:cs="Times New Roman"/>
          <w:sz w:val="24"/>
          <w:szCs w:val="24"/>
        </w:rPr>
        <w:t xml:space="preserve">неинвазивности</w:t>
      </w:r>
      <w:r>
        <w:rPr>
          <w:rFonts w:ascii="Times New Roman" w:hAnsi="Times New Roman" w:cs="Times New Roman"/>
          <w:sz w:val="24"/>
          <w:szCs w:val="24"/>
        </w:rPr>
        <w:t xml:space="preserve"> и высокому временному разрешению. Подобные системы успешно применяются в клинической и неклинической практике для реабилитации пациентов с неврологическими и психиатрическими расстройствами, а также </w:t>
      </w:r>
      <w:r>
        <w:rPr>
          <w:rFonts w:ascii="Times New Roman" w:hAnsi="Times New Roman" w:cs="Times New Roman"/>
          <w:sz w:val="24"/>
          <w:szCs w:val="24"/>
        </w:rPr>
        <w:t xml:space="preserve">для усиления когнитивных функций у здоровых людей.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after="0" w:line="360" w:lineRule="auto"/>
        <w:ind w:firstLine="720"/>
        <w:contextualSpacing w:val="true"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Важной вехой развития данных методик выступает работа Института биофизики клетки РАН и Национального исследовательского Нижегородского государственного университета, где разработаны технологии, использующи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sz w:val="24"/>
          <w:szCs w:val="24"/>
        </w:rPr>
        <w:t xml:space="preserve">неинвазивные</w:t>
      </w:r>
      <w:r>
        <w:rPr>
          <w:rFonts w:ascii="Times New Roman" w:hAnsi="Times New Roman" w:cs="Times New Roman"/>
          <w:sz w:val="24"/>
          <w:szCs w:val="24"/>
        </w:rPr>
        <w:t xml:space="preserve"> сенсорные воздействия, управляемые биопотенциалами мозга. Учеными разработан ряд эффективных стратегий воздействия на ритмы головного мозга с общей целью коррекции стресс-вызванных расстройств, оптимизации функционального состояния, лечения </w:t>
      </w:r>
      <w:r>
        <w:rPr>
          <w:rFonts w:ascii="Times New Roman" w:hAnsi="Times New Roman" w:cs="Times New Roman"/>
          <w:sz w:val="24"/>
          <w:szCs w:val="24"/>
        </w:rPr>
        <w:t xml:space="preserve">посттравматических стрессовых расстройств и профессионального выгорания, а также в других областях. Однако широкий спектр возможных функциональных состояний головного мозга при различных </w:t>
      </w:r>
      <w:r>
        <w:rPr>
          <w:rFonts w:ascii="Times New Roman" w:hAnsi="Times New Roman" w:cs="Times New Roman"/>
          <w:sz w:val="24"/>
          <w:szCs w:val="24"/>
        </w:rPr>
        <w:t xml:space="preserve">донозологических</w:t>
      </w:r>
      <w:r>
        <w:rPr>
          <w:rFonts w:ascii="Times New Roman" w:hAnsi="Times New Roman" w:cs="Times New Roman"/>
          <w:sz w:val="24"/>
          <w:szCs w:val="24"/>
        </w:rPr>
        <w:t xml:space="preserve"> и патологических состояний приводит к сложности внед</w:t>
      </w:r>
      <w:r>
        <w:rPr>
          <w:rFonts w:ascii="Times New Roman" w:hAnsi="Times New Roman" w:cs="Times New Roman"/>
          <w:sz w:val="24"/>
          <w:szCs w:val="24"/>
        </w:rPr>
        <w:t xml:space="preserve">рения методик </w:t>
      </w:r>
      <w:r>
        <w:rPr>
          <w:rFonts w:ascii="Times New Roman" w:hAnsi="Times New Roman" w:cs="Times New Roman"/>
          <w:sz w:val="24"/>
          <w:szCs w:val="24"/>
        </w:rPr>
        <w:t xml:space="preserve">нейробиоуправления</w:t>
      </w:r>
      <w:r>
        <w:rPr>
          <w:rFonts w:ascii="Times New Roman" w:hAnsi="Times New Roman" w:cs="Times New Roman"/>
          <w:sz w:val="24"/>
          <w:szCs w:val="24"/>
        </w:rPr>
        <w:t xml:space="preserve"> в практику. Как правило, </w:t>
      </w:r>
      <w:r>
        <w:rPr>
          <w:rFonts w:ascii="Times New Roman" w:hAnsi="Times New Roman" w:cs="Times New Roman"/>
          <w:sz w:val="24"/>
          <w:szCs w:val="24"/>
        </w:rPr>
        <w:t xml:space="preserve">нейробиоуправление</w:t>
      </w:r>
      <w:r>
        <w:rPr>
          <w:rFonts w:ascii="Times New Roman" w:hAnsi="Times New Roman" w:cs="Times New Roman"/>
          <w:sz w:val="24"/>
          <w:szCs w:val="24"/>
        </w:rPr>
        <w:t xml:space="preserve"> не является единственной методикой лечения (коррекции) для конкретного пациента, поэтому на выбор протокола коррекции накладываются более строгие ограничения при назначении, что в</w:t>
      </w:r>
      <w:r>
        <w:rPr>
          <w:rFonts w:ascii="Times New Roman" w:hAnsi="Times New Roman" w:cs="Times New Roman"/>
          <w:sz w:val="24"/>
          <w:szCs w:val="24"/>
        </w:rPr>
        <w:t xml:space="preserve"> свою очередь требует высокой квалификации эксперта.</w:t>
      </w:r>
      <w:r/>
    </w:p>
    <w:p>
      <w:pPr>
        <w:pBdr/>
        <w:spacing w:after="0"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 не менее, накопленный практический опыт </w:t>
      </w:r>
      <w:r>
        <w:rPr>
          <w:rFonts w:ascii="Times New Roman" w:hAnsi="Times New Roman" w:cs="Times New Roman"/>
          <w:sz w:val="24"/>
          <w:szCs w:val="24"/>
        </w:rPr>
        <w:t xml:space="preserve">нейробиоуправления</w:t>
      </w:r>
      <w:r>
        <w:rPr>
          <w:rFonts w:ascii="Times New Roman" w:hAnsi="Times New Roman" w:cs="Times New Roman"/>
          <w:sz w:val="24"/>
          <w:szCs w:val="24"/>
        </w:rPr>
        <w:t xml:space="preserve"> и анализа </w:t>
      </w:r>
      <w:r>
        <w:rPr>
          <w:rFonts w:ascii="Times New Roman" w:hAnsi="Times New Roman" w:cs="Times New Roman"/>
          <w:sz w:val="24"/>
          <w:szCs w:val="24"/>
        </w:rPr>
        <w:t xml:space="preserve">ЭЭГ  позволяет</w:t>
      </w:r>
      <w:r>
        <w:rPr>
          <w:rFonts w:ascii="Times New Roman" w:hAnsi="Times New Roman" w:cs="Times New Roman"/>
          <w:sz w:val="24"/>
          <w:szCs w:val="24"/>
        </w:rPr>
        <w:t xml:space="preserve"> выявить характерные черты нарушения ритмики мозга, общие для органических и функциональных деструкций нейронных се</w:t>
      </w:r>
      <w:r>
        <w:rPr>
          <w:rFonts w:ascii="Times New Roman" w:hAnsi="Times New Roman" w:cs="Times New Roman"/>
          <w:sz w:val="24"/>
          <w:szCs w:val="24"/>
        </w:rPr>
        <w:t xml:space="preserve">тей, такие как энцефалопатия и депрессия. Выделяемые черты нарушений требуют формализации и </w:t>
      </w:r>
      <w:r>
        <w:rPr>
          <w:rFonts w:ascii="Times New Roman" w:hAnsi="Times New Roman" w:cs="Times New Roman"/>
          <w:sz w:val="24"/>
          <w:szCs w:val="24"/>
        </w:rPr>
        <w:t xml:space="preserve">параметризации для последующего использования при поэтапном снижении уровня регрессии ритмики.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66"/>
        <w:pBdr/>
        <w:spacing/>
        <w:ind/>
        <w:jc w:val="center"/>
        <w:rPr>
          <w:rFonts w:ascii="Times New Roman" w:hAnsi="Times New Roman" w:cs="Times New Roman"/>
          <w:sz w:val="24"/>
          <w:szCs w:val="24"/>
        </w:rPr>
      </w:pPr>
      <w:r/>
      <w:bookmarkStart w:id="4" w:name="_Toc2"/>
      <w:r>
        <w:rPr>
          <w:rFonts w:ascii="Times New Roman" w:hAnsi="Times New Roman" w:cs="Times New Roman"/>
          <w:sz w:val="24"/>
          <w:szCs w:val="24"/>
        </w:rPr>
        <w:t xml:space="preserve">ОСНОВНАЯ ЧАСТЬ ОТЧЁТА</w:t>
      </w:r>
      <w:bookmarkEnd w:id="4"/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67"/>
        <w:pBdr/>
        <w:spacing/>
        <w:ind/>
        <w:rPr>
          <w:rFonts w:ascii="Times New Roman" w:hAnsi="Times New Roman" w:cs="Times New Roman"/>
          <w:b/>
          <w:sz w:val="24"/>
          <w:szCs w:val="24"/>
        </w:rPr>
      </w:pPr>
      <w:r/>
      <w:bookmarkStart w:id="5" w:name="_Toc3"/>
      <w:r>
        <w:rPr>
          <w:rFonts w:ascii="Times New Roman" w:hAnsi="Times New Roman" w:cs="Times New Roman"/>
          <w:b/>
          <w:sz w:val="24"/>
          <w:szCs w:val="24"/>
        </w:rPr>
        <w:t xml:space="preserve">1. Формализация параметров ЭЭГ сигнала при </w:t>
      </w:r>
      <w:r>
        <w:rPr>
          <w:rFonts w:ascii="Times New Roman" w:hAnsi="Times New Roman" w:cs="Times New Roman"/>
          <w:b/>
          <w:sz w:val="24"/>
          <w:szCs w:val="24"/>
        </w:rPr>
        <w:t xml:space="preserve">не</w:t>
      </w:r>
      <w:r>
        <w:rPr>
          <w:rFonts w:ascii="Times New Roman" w:hAnsi="Times New Roman" w:cs="Times New Roman"/>
          <w:b/>
          <w:sz w:val="24"/>
          <w:szCs w:val="24"/>
        </w:rPr>
        <w:t xml:space="preserve">йробиоуправлении</w:t>
      </w:r>
      <w:r>
        <w:rPr>
          <w:rFonts w:ascii="Times New Roman" w:hAnsi="Times New Roman" w:cs="Times New Roman"/>
          <w:b/>
          <w:sz w:val="24"/>
          <w:szCs w:val="24"/>
        </w:rPr>
        <w:t xml:space="preserve"> для оценки зрелости</w:t>
      </w:r>
      <w:bookmarkEnd w:id="5"/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ЭЭГ-сигнал в зависимости от различной локализации регистрирующих электродов обладает различной информативностью при одних и тех методов исследования цифрового сигнала. Для исследования когнитивных процессов и </w:t>
      </w:r>
      <w:r>
        <w:rPr>
          <w:rFonts w:ascii="Times New Roman" w:hAnsi="Times New Roman" w:cs="Times New Roman"/>
          <w:sz w:val="24"/>
          <w:szCs w:val="24"/>
        </w:rPr>
        <w:t xml:space="preserve">нейробиоуп</w:t>
      </w:r>
      <w:r>
        <w:rPr>
          <w:rFonts w:ascii="Times New Roman" w:hAnsi="Times New Roman" w:cs="Times New Roman"/>
          <w:sz w:val="24"/>
          <w:szCs w:val="24"/>
        </w:rPr>
        <w:t xml:space="preserve">равления</w:t>
      </w:r>
      <w:r>
        <w:rPr>
          <w:rFonts w:ascii="Times New Roman" w:hAnsi="Times New Roman" w:cs="Times New Roman"/>
          <w:sz w:val="24"/>
          <w:szCs w:val="24"/>
        </w:rPr>
        <w:t xml:space="preserve"> одним из основных фокусов для исследования является локализация </w:t>
      </w:r>
      <w:r>
        <w:rPr>
          <w:rFonts w:ascii="Times New Roman" w:hAnsi="Times New Roman" w:cs="Times New Roman"/>
          <w:sz w:val="24"/>
          <w:szCs w:val="24"/>
        </w:rPr>
        <w:t xml:space="preserve">Cz-Pz</w:t>
      </w:r>
      <w:r>
        <w:rPr>
          <w:rFonts w:ascii="Times New Roman" w:hAnsi="Times New Roman" w:cs="Times New Roman"/>
          <w:sz w:val="24"/>
          <w:szCs w:val="24"/>
        </w:rPr>
        <w:t xml:space="preserve"> по следующему ряду причин [1]: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6"/>
        <w:numPr>
          <w:ilvl w:val="0"/>
          <w:numId w:val="3"/>
        </w:numPr>
        <w:pBdr/>
        <w:spacing w:line="360" w:lineRule="auto"/>
        <w:ind w:firstLine="709" w:left="0"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Cz</w:t>
      </w:r>
      <w:r>
        <w:rPr>
          <w:rFonts w:ascii="Times New Roman" w:hAnsi="Times New Roman" w:cs="Times New Roman"/>
          <w:sz w:val="24"/>
          <w:szCs w:val="24"/>
        </w:rPr>
        <w:t xml:space="preserve"> считается частью сенсомоторной коры, которая играет ключевую роль в обработке сенсомоторной информации. Это может быть ценно для изучения процессов принятия решений и взаимодействия между сенсорными и моторными компонентами мозга.</w:t>
      </w:r>
      <w:r/>
    </w:p>
    <w:p>
      <w:pPr>
        <w:pStyle w:val="946"/>
        <w:numPr>
          <w:ilvl w:val="0"/>
          <w:numId w:val="3"/>
        </w:numPr>
        <w:pBdr/>
        <w:spacing w:line="360" w:lineRule="auto"/>
        <w:ind w:firstLine="709"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Pz</w:t>
      </w:r>
      <w:r>
        <w:rPr>
          <w:rFonts w:ascii="Times New Roman" w:hAnsi="Times New Roman" w:cs="Times New Roman"/>
          <w:sz w:val="24"/>
          <w:szCs w:val="24"/>
        </w:rPr>
        <w:t xml:space="preserve"> локализуется ближе </w:t>
      </w:r>
      <w:r>
        <w:rPr>
          <w:rFonts w:ascii="Times New Roman" w:hAnsi="Times New Roman" w:cs="Times New Roman"/>
          <w:sz w:val="24"/>
          <w:szCs w:val="24"/>
        </w:rPr>
        <w:t xml:space="preserve">к теменной доле, которая участвует в обработке сенсорной информации, пространственном восприятии и внимании. Эти функции важны для изучения когнитивной нагрузки, внимания и памяти, так как теменная кора влияет на распределение ресурсов внимания и обработку</w:t>
      </w:r>
      <w:r>
        <w:rPr>
          <w:rFonts w:ascii="Times New Roman" w:hAnsi="Times New Roman" w:cs="Times New Roman"/>
          <w:sz w:val="24"/>
          <w:szCs w:val="24"/>
        </w:rPr>
        <w:t xml:space="preserve"> мультисенсорной информации.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6"/>
        <w:numPr>
          <w:ilvl w:val="0"/>
          <w:numId w:val="3"/>
        </w:numPr>
        <w:pBdr/>
        <w:spacing w:line="360" w:lineRule="auto"/>
        <w:ind w:firstLine="709"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области </w:t>
      </w:r>
      <w:r>
        <w:rPr>
          <w:rFonts w:ascii="Times New Roman" w:hAnsi="Times New Roman" w:cs="Times New Roman"/>
          <w:sz w:val="24"/>
          <w:szCs w:val="24"/>
        </w:rPr>
        <w:t xml:space="preserve">биоэлектричической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активности  </w:t>
      </w:r>
      <w:r>
        <w:rPr>
          <w:rFonts w:ascii="Times New Roman" w:hAnsi="Times New Roman" w:cs="Times New Roman"/>
          <w:sz w:val="24"/>
          <w:szCs w:val="24"/>
        </w:rPr>
        <w:t xml:space="preserve">Cz</w:t>
      </w:r>
      <w:r>
        <w:rPr>
          <w:rFonts w:ascii="Times New Roman" w:hAnsi="Times New Roman" w:cs="Times New Roman"/>
          <w:sz w:val="24"/>
          <w:szCs w:val="24"/>
        </w:rPr>
        <w:t xml:space="preserve">-Pz</w:t>
      </w:r>
      <w:r>
        <w:rPr>
          <w:rFonts w:ascii="Times New Roman" w:hAnsi="Times New Roman" w:cs="Times New Roman"/>
          <w:sz w:val="24"/>
          <w:szCs w:val="24"/>
        </w:rPr>
        <w:t xml:space="preserve"> активно проявляют себя   как в покое, так и во время выполнения когнитивных задач. Исследования показывают, что мозговая активность в этом регионе может изменяться в зависимости от у</w:t>
      </w:r>
      <w:r>
        <w:rPr>
          <w:rFonts w:ascii="Times New Roman" w:hAnsi="Times New Roman" w:cs="Times New Roman"/>
          <w:sz w:val="24"/>
          <w:szCs w:val="24"/>
        </w:rPr>
        <w:t xml:space="preserve">ровня когнитивного контроля и вовлеченности в задачи, что делает его стратегически важным для изучения когнитивной гибкости и концентрации.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6"/>
        <w:numPr>
          <w:ilvl w:val="0"/>
          <w:numId w:val="3"/>
        </w:numPr>
        <w:pBdr/>
        <w:spacing w:line="360" w:lineRule="auto"/>
        <w:ind w:firstLine="709"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волновые паттерны, такие как альфа-ритм, регистрируемые в области </w:t>
      </w:r>
      <w:r>
        <w:rPr>
          <w:rFonts w:ascii="Times New Roman" w:hAnsi="Times New Roman" w:cs="Times New Roman"/>
          <w:sz w:val="24"/>
          <w:szCs w:val="24"/>
        </w:rPr>
        <w:t xml:space="preserve">Cz-Pz</w:t>
      </w:r>
      <w:r>
        <w:rPr>
          <w:rFonts w:ascii="Times New Roman" w:hAnsi="Times New Roman" w:cs="Times New Roman"/>
          <w:sz w:val="24"/>
          <w:szCs w:val="24"/>
        </w:rPr>
        <w:t xml:space="preserve">, могут указывать на уровень когнитивной нагрузки, расслабления или фокусировку внимания. Это критически важно для разработки интерфейсов мозг-компьютер и </w:t>
      </w:r>
      <w:r>
        <w:rPr>
          <w:rFonts w:ascii="Times New Roman" w:hAnsi="Times New Roman" w:cs="Times New Roman"/>
          <w:sz w:val="24"/>
          <w:szCs w:val="24"/>
        </w:rPr>
        <w:t xml:space="preserve">нейробиоуправления</w:t>
      </w:r>
      <w:r>
        <w:rPr>
          <w:rFonts w:ascii="Times New Roman" w:hAnsi="Times New Roman" w:cs="Times New Roman"/>
          <w:sz w:val="24"/>
          <w:szCs w:val="24"/>
        </w:rPr>
        <w:t xml:space="preserve">, поскольку </w:t>
      </w:r>
      <w:r>
        <w:rPr>
          <w:rFonts w:ascii="Times New Roman" w:hAnsi="Times New Roman" w:cs="Times New Roman"/>
          <w:sz w:val="24"/>
          <w:szCs w:val="24"/>
        </w:rPr>
        <w:t xml:space="preserve">изменения в этих паттернах могут быть использованы в цепочках обратной биологической связи.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6"/>
        <w:numPr>
          <w:ilvl w:val="0"/>
          <w:numId w:val="3"/>
        </w:numPr>
        <w:pBdr/>
        <w:spacing w:line="360" w:lineRule="auto"/>
        <w:ind w:firstLine="709"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Cz-Pz</w:t>
      </w:r>
      <w:r>
        <w:rPr>
          <w:rFonts w:ascii="Times New Roman" w:hAnsi="Times New Roman" w:cs="Times New Roman"/>
          <w:sz w:val="24"/>
          <w:szCs w:val="24"/>
        </w:rPr>
        <w:t xml:space="preserve"> зона также является ключевым объектом изучения в </w:t>
      </w:r>
      <w:r>
        <w:rPr>
          <w:rFonts w:ascii="Times New Roman" w:hAnsi="Times New Roman" w:cs="Times New Roman"/>
          <w:sz w:val="24"/>
          <w:szCs w:val="24"/>
        </w:rPr>
        <w:t xml:space="preserve">нейропластичности</w:t>
      </w:r>
      <w:r>
        <w:rPr>
          <w:rFonts w:ascii="Times New Roman" w:hAnsi="Times New Roman" w:cs="Times New Roman"/>
          <w:sz w:val="24"/>
          <w:szCs w:val="24"/>
        </w:rPr>
        <w:t xml:space="preserve"> нервной системы, особенно в контексте реабилитации после травм или инсультов. Последние усп</w:t>
      </w:r>
      <w:r>
        <w:rPr>
          <w:rFonts w:ascii="Times New Roman" w:hAnsi="Times New Roman" w:cs="Times New Roman"/>
          <w:sz w:val="24"/>
          <w:szCs w:val="24"/>
        </w:rPr>
        <w:t xml:space="preserve">ехи в изучении этой области приводят к разработке современных программ реабилитации на основе </w:t>
      </w:r>
      <w:r>
        <w:rPr>
          <w:rFonts w:ascii="Times New Roman" w:hAnsi="Times New Roman" w:cs="Times New Roman"/>
          <w:sz w:val="24"/>
          <w:szCs w:val="24"/>
        </w:rPr>
        <w:t xml:space="preserve">нейробиоуправления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локализация </w:t>
      </w:r>
      <w:r>
        <w:rPr>
          <w:rFonts w:ascii="Times New Roman" w:hAnsi="Times New Roman" w:cs="Times New Roman"/>
          <w:sz w:val="24"/>
          <w:szCs w:val="24"/>
        </w:rPr>
        <w:t xml:space="preserve">Cz-Pz</w:t>
      </w:r>
      <w:r>
        <w:rPr>
          <w:rFonts w:ascii="Times New Roman" w:hAnsi="Times New Roman" w:cs="Times New Roman"/>
          <w:sz w:val="24"/>
          <w:szCs w:val="24"/>
        </w:rPr>
        <w:t xml:space="preserve"> является критической областью для изучения взаимодействия различных когнитивных процессов, напрямую соотносит</w:t>
      </w:r>
      <w:r>
        <w:rPr>
          <w:rFonts w:ascii="Times New Roman" w:hAnsi="Times New Roman" w:cs="Times New Roman"/>
          <w:sz w:val="24"/>
          <w:szCs w:val="24"/>
        </w:rPr>
        <w:t xml:space="preserve">ся с пониманием зрелости ритмов головного мозга.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 зрелостью ритмов головного мозга коллективом авторов [] понимается совокупность проявляющих себя </w:t>
      </w:r>
      <w:r>
        <w:rPr>
          <w:rFonts w:ascii="Times New Roman" w:hAnsi="Times New Roman" w:cs="Times New Roman"/>
          <w:sz w:val="24"/>
          <w:szCs w:val="24"/>
        </w:rPr>
        <w:t xml:space="preserve">фукнциональных</w:t>
      </w:r>
      <w:r>
        <w:rPr>
          <w:rFonts w:ascii="Times New Roman" w:hAnsi="Times New Roman" w:cs="Times New Roman"/>
          <w:sz w:val="24"/>
          <w:szCs w:val="24"/>
        </w:rPr>
        <w:t xml:space="preserve"> способностей: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 w:firstLine="720"/>
        <w:contextualSpacing w:val="true"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1.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Нейропластичность</w:t>
      </w:r>
      <w:r>
        <w:rPr>
          <w:rFonts w:ascii="Times New Roman" w:hAnsi="Times New Roman" w:cs="Times New Roman"/>
          <w:sz w:val="24"/>
          <w:szCs w:val="24"/>
        </w:rPr>
        <w:t xml:space="preserve"> – изменение структуры и функции как ответной реакции на </w:t>
      </w:r>
      <w:r>
        <w:rPr>
          <w:rFonts w:ascii="Times New Roman" w:hAnsi="Times New Roman" w:cs="Times New Roman"/>
          <w:sz w:val="24"/>
          <w:szCs w:val="24"/>
        </w:rPr>
        <w:t xml:space="preserve">воздействие. </w:t>
      </w:r>
      <w:r/>
    </w:p>
    <w:p>
      <w:pPr>
        <w:pBdr/>
        <w:spacing w:line="360" w:lineRule="auto"/>
        <w:ind w:firstLine="720"/>
        <w:contextualSpacing w:val="true"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2.</w:t>
      </w:r>
      <w:r>
        <w:rPr>
          <w:rFonts w:ascii="Times New Roman" w:hAnsi="Times New Roman" w:cs="Times New Roman"/>
          <w:sz w:val="24"/>
          <w:szCs w:val="24"/>
        </w:rPr>
        <w:tab/>
        <w:t xml:space="preserve">Обучение и память – адаптация к новой информации через процессы обучения и формирования памяти. </w:t>
      </w:r>
      <w:r/>
    </w:p>
    <w:p>
      <w:pPr>
        <w:pBdr/>
        <w:spacing w:line="360" w:lineRule="auto"/>
        <w:ind w:firstLine="720"/>
        <w:contextualSpacing w:val="true"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3.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Компенсация  -</w:t>
      </w:r>
      <w:r>
        <w:rPr>
          <w:rFonts w:ascii="Times New Roman" w:hAnsi="Times New Roman" w:cs="Times New Roman"/>
          <w:sz w:val="24"/>
          <w:szCs w:val="24"/>
        </w:rPr>
        <w:t xml:space="preserve"> активация новых областей взамен </w:t>
      </w:r>
      <w:r>
        <w:rPr>
          <w:rFonts w:ascii="Times New Roman" w:hAnsi="Times New Roman" w:cs="Times New Roman"/>
          <w:sz w:val="24"/>
          <w:szCs w:val="24"/>
        </w:rPr>
        <w:t xml:space="preserve">подврежденных</w:t>
      </w:r>
      <w:r>
        <w:rPr>
          <w:rFonts w:ascii="Times New Roman" w:hAnsi="Times New Roman" w:cs="Times New Roman"/>
          <w:sz w:val="24"/>
          <w:szCs w:val="24"/>
        </w:rPr>
        <w:t xml:space="preserve"> или изменение структуры для адаптации к новым условиям.</w:t>
      </w:r>
      <w:r/>
    </w:p>
    <w:p>
      <w:pPr>
        <w:pBdr/>
        <w:spacing w:line="360" w:lineRule="auto"/>
        <w:ind w:firstLine="720"/>
        <w:contextualSpacing w:val="true"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4.</w:t>
      </w:r>
      <w:r>
        <w:rPr>
          <w:rFonts w:ascii="Times New Roman" w:hAnsi="Times New Roman" w:cs="Times New Roman"/>
          <w:sz w:val="24"/>
          <w:szCs w:val="24"/>
        </w:rPr>
        <w:tab/>
        <w:t xml:space="preserve">Развитие в течение </w:t>
      </w:r>
      <w:r>
        <w:rPr>
          <w:rFonts w:ascii="Times New Roman" w:hAnsi="Times New Roman" w:cs="Times New Roman"/>
          <w:sz w:val="24"/>
          <w:szCs w:val="24"/>
        </w:rPr>
        <w:t xml:space="preserve">жизни – постоянное проявление динамики структурной и функциональной организации и борьба с регрессией в рамках адаптации.</w:t>
      </w:r>
      <w:r/>
    </w:p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этом ключевым объектом изучения становится альфа-ритм. Одним из свойств альфа-ритма является его естественный онтогенез – у детей </w:t>
      </w:r>
      <w:r>
        <w:rPr>
          <w:rFonts w:ascii="Times New Roman" w:hAnsi="Times New Roman" w:cs="Times New Roman"/>
          <w:sz w:val="24"/>
          <w:szCs w:val="24"/>
        </w:rPr>
        <w:t xml:space="preserve">развитие альфа-активности связано с процессами созревания и </w:t>
      </w:r>
      <w:r>
        <w:rPr>
          <w:rFonts w:ascii="Times New Roman" w:hAnsi="Times New Roman" w:cs="Times New Roman"/>
          <w:sz w:val="24"/>
          <w:szCs w:val="24"/>
        </w:rPr>
        <w:t xml:space="preserve">мелинизации</w:t>
      </w:r>
      <w:r>
        <w:rPr>
          <w:rFonts w:ascii="Times New Roman" w:hAnsi="Times New Roman" w:cs="Times New Roman"/>
          <w:sz w:val="24"/>
          <w:szCs w:val="24"/>
        </w:rPr>
        <w:t xml:space="preserve">, которые напрямую связаны с когнитивным развитием. Альфа-ритм тесно связан с когнитивными функциями, что </w:t>
      </w:r>
      <w:r>
        <w:rPr>
          <w:rFonts w:ascii="Times New Roman" w:hAnsi="Times New Roman" w:cs="Times New Roman"/>
          <w:sz w:val="24"/>
          <w:szCs w:val="24"/>
        </w:rPr>
        <w:t xml:space="preserve">позволяет</w:t>
      </w:r>
      <w:r>
        <w:rPr>
          <w:rFonts w:ascii="Times New Roman" w:hAnsi="Times New Roman" w:cs="Times New Roman"/>
          <w:sz w:val="24"/>
          <w:szCs w:val="24"/>
        </w:rPr>
        <w:t xml:space="preserve">  классифицировать</w:t>
      </w:r>
      <w:r>
        <w:rPr>
          <w:rFonts w:ascii="Times New Roman" w:hAnsi="Times New Roman" w:cs="Times New Roman"/>
          <w:sz w:val="24"/>
          <w:szCs w:val="24"/>
        </w:rPr>
        <w:t xml:space="preserve"> его подавление или усиление </w:t>
      </w:r>
      <w:r>
        <w:rPr>
          <w:rFonts w:ascii="Times New Roman" w:hAnsi="Times New Roman" w:cs="Times New Roman"/>
          <w:sz w:val="24"/>
          <w:szCs w:val="24"/>
        </w:rPr>
        <w:t xml:space="preserve">внешим</w:t>
      </w:r>
      <w:r>
        <w:rPr>
          <w:rFonts w:ascii="Times New Roman" w:hAnsi="Times New Roman" w:cs="Times New Roman"/>
          <w:sz w:val="24"/>
          <w:szCs w:val="24"/>
        </w:rPr>
        <w:t xml:space="preserve"> стимулом в терми</w:t>
      </w:r>
      <w:r>
        <w:rPr>
          <w:rFonts w:ascii="Times New Roman" w:hAnsi="Times New Roman" w:cs="Times New Roman"/>
          <w:sz w:val="24"/>
          <w:szCs w:val="24"/>
        </w:rPr>
        <w:t xml:space="preserve">нах состояний когнитивной нагрузки.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электоэнцефалографии</w:t>
      </w:r>
      <w:r>
        <w:rPr>
          <w:rFonts w:ascii="Times New Roman" w:hAnsi="Times New Roman" w:cs="Times New Roman"/>
          <w:sz w:val="24"/>
          <w:szCs w:val="24"/>
        </w:rPr>
        <w:t xml:space="preserve"> при спектральном анализе принято выделять следующие характеристики альфа-ритма: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6"/>
        <w:numPr>
          <w:ilvl w:val="0"/>
          <w:numId w:val="4"/>
        </w:numPr>
        <w:pBdr/>
        <w:spacing w:line="360" w:lineRule="auto"/>
        <w:ind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мощность (абсолютную и относительную);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6"/>
        <w:numPr>
          <w:ilvl w:val="0"/>
          <w:numId w:val="4"/>
        </w:numPr>
        <w:pBdr/>
        <w:spacing w:line="360" w:lineRule="auto"/>
        <w:ind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наличие доминирующего пика;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6"/>
        <w:numPr>
          <w:ilvl w:val="0"/>
          <w:numId w:val="4"/>
        </w:numPr>
        <w:pBdr/>
        <w:spacing w:line="360" w:lineRule="auto"/>
        <w:ind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частоту и амплитуду пика;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6"/>
        <w:numPr>
          <w:ilvl w:val="0"/>
          <w:numId w:val="4"/>
        </w:numPr>
        <w:pBdr/>
        <w:spacing w:line="360" w:lineRule="auto"/>
        <w:ind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cоотношение</w:t>
      </w:r>
      <w:r>
        <w:rPr>
          <w:rFonts w:ascii="Times New Roman" w:hAnsi="Times New Roman" w:cs="Times New Roman"/>
          <w:sz w:val="24"/>
          <w:szCs w:val="24"/>
        </w:rPr>
        <w:t xml:space="preserve"> (α/θ).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 w:clear="all"/>
      </w: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pStyle w:val="767"/>
        <w:pBdr/>
        <w:spacing/>
        <w:ind/>
        <w:rPr>
          <w:rFonts w:ascii="Times New Roman" w:hAnsi="Times New Roman" w:cs="Times New Roman"/>
          <w:b/>
          <w:bCs/>
          <w:sz w:val="24"/>
          <w:szCs w:val="24"/>
        </w:rPr>
      </w:pPr>
      <w:r/>
      <w:bookmarkStart w:id="6" w:name="_Toc4"/>
      <w:r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Функциональная проба динамической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нейромодуляции</w:t>
      </w:r>
      <w:bookmarkEnd w:id="6"/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многолетней научно-исследовательской работы была </w:t>
      </w:r>
      <w:r>
        <w:rPr>
          <w:rFonts w:ascii="Times New Roman" w:hAnsi="Times New Roman" w:cs="Times New Roman"/>
          <w:sz w:val="24"/>
          <w:szCs w:val="24"/>
        </w:rPr>
        <w:t xml:space="preserve">преложена</w:t>
      </w:r>
      <w:r>
        <w:rPr>
          <w:rFonts w:ascii="Times New Roman" w:hAnsi="Times New Roman" w:cs="Times New Roman"/>
          <w:sz w:val="24"/>
          <w:szCs w:val="24"/>
        </w:rPr>
        <w:t xml:space="preserve"> процедура </w:t>
      </w:r>
      <w:r>
        <w:rPr>
          <w:rFonts w:ascii="Times New Roman" w:hAnsi="Times New Roman" w:cs="Times New Roman"/>
          <w:sz w:val="24"/>
          <w:szCs w:val="24"/>
        </w:rPr>
        <w:t xml:space="preserve">нейробиоуправления</w:t>
      </w:r>
      <w:r>
        <w:rPr>
          <w:rFonts w:ascii="Times New Roman" w:hAnsi="Times New Roman" w:cs="Times New Roman"/>
          <w:sz w:val="24"/>
          <w:szCs w:val="24"/>
        </w:rPr>
        <w:t xml:space="preserve"> (рис.1), позволяющая в рамках одного протокола </w:t>
      </w:r>
      <w:r>
        <w:rPr>
          <w:rFonts w:ascii="Times New Roman" w:hAnsi="Times New Roman" w:cs="Times New Roman"/>
          <w:sz w:val="24"/>
          <w:szCs w:val="24"/>
        </w:rPr>
        <w:t xml:space="preserve">оценить когнитивные функции и стрессоустойчивость – динамическа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z w:val="24"/>
          <w:szCs w:val="24"/>
        </w:rPr>
        <w:t xml:space="preserve">нейромодуляция</w:t>
      </w:r>
      <w:r>
        <w:rPr>
          <w:rFonts w:ascii="Times New Roman" w:hAnsi="Times New Roman" w:cs="Times New Roman"/>
          <w:sz w:val="24"/>
          <w:szCs w:val="24"/>
        </w:rPr>
        <w:t xml:space="preserve"> (также в лит. – “сканирование”) [2,4].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 w:firstLine="720"/>
        <w:contextualSpacing w:val="true"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Структура пробы:</w:t>
      </w:r>
      <w:r/>
    </w:p>
    <w:p>
      <w:pPr>
        <w:pStyle w:val="946"/>
        <w:numPr>
          <w:ilvl w:val="0"/>
          <w:numId w:val="5"/>
        </w:numPr>
        <w:pBdr/>
        <w:spacing w:line="360" w:lineRule="auto"/>
        <w:ind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Фон ДО – запись ЭЭГ в покое, 2 минуты;</w:t>
      </w:r>
      <w:r/>
    </w:p>
    <w:p>
      <w:pPr>
        <w:pStyle w:val="946"/>
        <w:numPr>
          <w:ilvl w:val="0"/>
          <w:numId w:val="5"/>
        </w:numPr>
        <w:pBdr/>
        <w:spacing w:line="360" w:lineRule="auto"/>
        <w:ind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Стимуляция - для световой стимуляции назначается режим «Сканирование» в диапазоне частот от 4 Гц (</w:t>
      </w:r>
      <w:r>
        <w:rPr>
          <w:rFonts w:ascii="Times New Roman" w:hAnsi="Times New Roman" w:cs="Times New Roman"/>
          <w:sz w:val="24"/>
          <w:szCs w:val="24"/>
        </w:rPr>
        <w:t xml:space="preserve">Fmin</w:t>
      </w:r>
      <w:r>
        <w:rPr>
          <w:rFonts w:ascii="Times New Roman" w:hAnsi="Times New Roman" w:cs="Times New Roman"/>
          <w:sz w:val="24"/>
          <w:szCs w:val="24"/>
        </w:rPr>
        <w:t xml:space="preserve">) до 14 Гц (</w:t>
      </w:r>
      <w:r>
        <w:rPr>
          <w:rFonts w:ascii="Times New Roman" w:hAnsi="Times New Roman" w:cs="Times New Roman"/>
          <w:sz w:val="24"/>
          <w:szCs w:val="24"/>
        </w:rPr>
        <w:t xml:space="preserve">Fmax</w:t>
      </w:r>
      <w:r>
        <w:rPr>
          <w:rFonts w:ascii="Times New Roman" w:hAnsi="Times New Roman" w:cs="Times New Roman"/>
          <w:sz w:val="24"/>
          <w:szCs w:val="24"/>
        </w:rPr>
        <w:t xml:space="preserve">) с шагом по частоте 0,1 Г</w:t>
      </w:r>
      <w:r>
        <w:rPr>
          <w:rFonts w:ascii="Times New Roman" w:hAnsi="Times New Roman" w:cs="Times New Roman"/>
          <w:sz w:val="24"/>
          <w:szCs w:val="24"/>
        </w:rPr>
        <w:t xml:space="preserve">ц (</w:t>
      </w:r>
      <w:r>
        <w:rPr>
          <w:rFonts w:ascii="Times New Roman" w:hAnsi="Times New Roman" w:cs="Times New Roman"/>
          <w:sz w:val="24"/>
          <w:szCs w:val="24"/>
        </w:rPr>
        <w:t xml:space="preserve">dF</w:t>
      </w:r>
      <w:r>
        <w:rPr>
          <w:rFonts w:ascii="Times New Roman" w:hAnsi="Times New Roman" w:cs="Times New Roman"/>
          <w:sz w:val="24"/>
          <w:szCs w:val="24"/>
        </w:rPr>
        <w:t xml:space="preserve">) и шагом по времени 3 сек. (</w:t>
      </w:r>
      <w:r>
        <w:rPr>
          <w:rFonts w:ascii="Times New Roman" w:hAnsi="Times New Roman" w:cs="Times New Roman"/>
          <w:sz w:val="24"/>
          <w:szCs w:val="24"/>
        </w:rPr>
        <w:t xml:space="preserve">dT</w:t>
      </w:r>
      <w:r>
        <w:rPr>
          <w:rFonts w:ascii="Times New Roman" w:hAnsi="Times New Roman" w:cs="Times New Roman"/>
          <w:sz w:val="24"/>
          <w:szCs w:val="24"/>
        </w:rPr>
        <w:t xml:space="preserve">); для звуковой стимуляции в качестве зоны интереса назначается </w:t>
      </w:r>
      <w:r>
        <w:rPr>
          <w:rFonts w:ascii="Times New Roman" w:hAnsi="Times New Roman" w:cs="Times New Roman"/>
          <w:sz w:val="24"/>
          <w:szCs w:val="24"/>
        </w:rPr>
        <w:t xml:space="preserve">тета</w:t>
      </w:r>
      <w:r>
        <w:rPr>
          <w:rFonts w:ascii="Times New Roman" w:hAnsi="Times New Roman" w:cs="Times New Roman"/>
          <w:sz w:val="24"/>
          <w:szCs w:val="24"/>
        </w:rPr>
        <w:t xml:space="preserve">-ритм (4-8 Гц), функция обратной связи реализуется через прямую </w:t>
      </w:r>
      <w:r>
        <w:rPr>
          <w:rFonts w:ascii="Times New Roman" w:hAnsi="Times New Roman" w:cs="Times New Roman"/>
          <w:sz w:val="24"/>
          <w:szCs w:val="24"/>
        </w:rPr>
        <w:t xml:space="preserve">коррелляцию</w:t>
      </w:r>
      <w:r>
        <w:rPr>
          <w:rFonts w:ascii="Times New Roman" w:hAnsi="Times New Roman" w:cs="Times New Roman"/>
          <w:sz w:val="24"/>
          <w:szCs w:val="24"/>
        </w:rPr>
        <w:t xml:space="preserve"> между мощностью </w:t>
      </w:r>
      <w:r>
        <w:rPr>
          <w:rFonts w:ascii="Times New Roman" w:hAnsi="Times New Roman" w:cs="Times New Roman"/>
          <w:sz w:val="24"/>
          <w:szCs w:val="24"/>
        </w:rPr>
        <w:t xml:space="preserve">тета</w:t>
      </w:r>
      <w:r>
        <w:rPr>
          <w:rFonts w:ascii="Times New Roman" w:hAnsi="Times New Roman" w:cs="Times New Roman"/>
          <w:sz w:val="24"/>
          <w:szCs w:val="24"/>
        </w:rPr>
        <w:t xml:space="preserve">-ритма и высотой тональных модуляций;</w:t>
      </w:r>
      <w:r/>
    </w:p>
    <w:p>
      <w:pPr>
        <w:pStyle w:val="946"/>
        <w:numPr>
          <w:ilvl w:val="0"/>
          <w:numId w:val="5"/>
        </w:numPr>
        <w:pBdr/>
        <w:spacing w:line="360" w:lineRule="auto"/>
        <w:ind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Фон ПОСЛЕ – запись ЭЭГ в покое, 2 минуты.</w:t>
      </w:r>
      <w:r/>
    </w:p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Продолжительность функциональной пробы - 540 секунд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/>
        <w:ind/>
        <w:jc w:val="center"/>
        <w:rPr/>
      </w:pPr>
      <w:r>
        <w:rPr>
          <w:rFonts w:ascii="Times New Roman" w:hAnsi="Times New Roman" w:eastAsia="Times New Roman" w:cs="Times New Roman"/>
          <w:color w:val="000000"/>
          <w:sz w:val="18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/>
        <w:ind/>
        <w:jc w:val="center"/>
        <w:rPr/>
      </w:pPr>
      <w:r>
        <w:rPr>
          <w:rFonts w:ascii="Times New Roman" w:hAnsi="Times New Roman" w:eastAsia="Times New Roman" w:cs="Times New Roman"/>
          <w:color w:val="000000"/>
          <w:sz w:val="18"/>
        </w:rPr>
        <w:t xml:space="preserve"> </w:t>
      </w:r>
      <w:r/>
    </w:p>
    <w:tbl>
      <w:tblPr>
        <w:tblStyle w:val="947"/>
        <w:tblW w:w="0" w:type="auto"/>
        <w:tblBorders/>
        <w:tblLook w:val="04A0" w:firstRow="1" w:lastRow="0" w:firstColumn="1" w:lastColumn="0" w:noHBand="0" w:noVBand="1"/>
      </w:tblPr>
      <w:tblGrid>
        <w:gridCol w:w="9016"/>
      </w:tblGrid>
      <w:tr>
        <w:trPr/>
        <w:tc>
          <w:tcPr>
            <w:tcBorders/>
            <w:tcW w:w="9922" w:type="dxa"/>
            <w:textDirection w:val="lrTb"/>
            <w:noWrap w:val="false"/>
          </w:tcPr>
          <w:p>
            <w:pPr>
              <w:pStyle w:val="948"/>
              <w:pBdr/>
              <w:spacing/>
              <w:ind w:firstLine="0"/>
              <w:jc w:val="center"/>
              <w:rPr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731510" cy="2674705"/>
                      <wp:effectExtent l="0" t="0" r="0" b="0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6070145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31509" cy="267470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0" o:spid="_x0000_s0" type="#_x0000_t75" style="width:451.30pt;height:210.61pt;mso-wrap-distance-left:0.00pt;mso-wrap-distance-top:0.00pt;mso-wrap-distance-right:0.00pt;mso-wrap-distance-bottom:0.00pt;z-index:1;" stroked="false">
                      <v:imagedata r:id="rId16" o:title=""/>
                      <o:lock v:ext="edit" rotation="t"/>
                    </v:shape>
                  </w:pict>
                </mc:Fallback>
              </mc:AlternateContent>
            </w:r>
            <w:r/>
          </w:p>
        </w:tc>
      </w:tr>
      <w:tr>
        <w:trPr/>
        <w:tc>
          <w:tcPr>
            <w:tcBorders/>
            <w:tcW w:w="9922" w:type="dxa"/>
            <w:textDirection w:val="lrTb"/>
            <w:noWrap w:val="false"/>
          </w:tcPr>
          <w:p>
            <w:pPr>
              <w:pStyle w:val="799"/>
              <w:pBdr/>
              <w:spacing/>
              <w:ind/>
              <w:jc w:val="center"/>
              <w:rPr>
                <w:bCs w:val="0"/>
                <w:color w:val="000000" w:themeColor="text1"/>
                <w:sz w:val="24"/>
                <w:szCs w:val="24"/>
              </w:rPr>
            </w:pPr>
            <w:r/>
            <w:bookmarkStart w:id="1" w:name="_Ref8328139054"/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Рисунок 1</w:t>
            </w:r>
            <w:bookmarkEnd w:id="1"/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– Визуализация пробы «динамическая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нейромодуляция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». Визуальный стимул представлен на графике яркости свечения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фотостимулятора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в виде гармонических колебаний с фиксированной максимальной яркостью, частота которых дискретно изменяется согласно протоколу, вне зависимости от регистрируемого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нейросигнала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. Максимальная яркость 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Imax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может быть скорректирована с учетом индивидуальной с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веточувствительности пациента, t –время (с), I – яркость (кд/м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/>
                <w:sz w:val="24"/>
                <w:szCs w:val="24"/>
                <w:vertAlign w:val="superscript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)</w:t>
            </w:r>
            <w:r>
              <w:rPr>
                <w:bCs w:val="0"/>
                <w:color w:val="000000" w:themeColor="text1"/>
                <w:sz w:val="24"/>
                <w:szCs w:val="24"/>
              </w:rPr>
            </w:r>
            <w:r>
              <w:rPr>
                <w:bCs w:val="0"/>
                <w:color w:val="000000" w:themeColor="text1"/>
                <w:sz w:val="24"/>
                <w:szCs w:val="24"/>
              </w:rPr>
            </w:r>
          </w:p>
        </w:tc>
      </w:tr>
    </w:tbl>
    <w:p>
      <w:pPr>
        <w:pStyle w:val="948"/>
        <w:pBdr/>
        <w:spacing/>
        <w:ind/>
        <w:rPr/>
      </w:pPr>
      <w:r/>
      <w:r/>
    </w:p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Известно, что этап «ДО» позволяет достоверно определить выраженность альфа-ритма, во время стимуляции определить – сохраняется или собственный альфа-ритм, проявляется ли </w:t>
      </w:r>
      <w:r>
        <w:rPr>
          <w:rFonts w:ascii="Times New Roman" w:hAnsi="Times New Roman" w:cs="Times New Roman"/>
          <w:sz w:val="24"/>
          <w:szCs w:val="24"/>
        </w:rPr>
        <w:t xml:space="preserve">нейропластичность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(эффект усвоения ритма, эффект мультипликации).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Исходя из этого результаты ЭЭГ по данному протоколу могут быть использованы для детектора зрелости головного мозга.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pStyle w:val="767"/>
        <w:pBdr/>
        <w:spacing/>
        <w:ind/>
        <w:rPr>
          <w:rFonts w:ascii="Times New Roman" w:hAnsi="Times New Roman" w:cs="Times New Roman"/>
          <w:b/>
          <w:bCs/>
          <w:sz w:val="24"/>
          <w:szCs w:val="24"/>
        </w:rPr>
      </w:pPr>
      <w:r/>
      <w:bookmarkStart w:id="7" w:name="_Toc5"/>
      <w:r>
        <w:rPr>
          <w:rFonts w:ascii="Times New Roman" w:hAnsi="Times New Roman" w:cs="Times New Roman"/>
          <w:b/>
          <w:bCs/>
          <w:sz w:val="24"/>
          <w:szCs w:val="24"/>
        </w:rPr>
        <w:t xml:space="preserve">3. Описание алгоритма оценки зрелости </w:t>
      </w:r>
      <w:bookmarkEnd w:id="7"/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Формальная постановка задачи</w:t>
      </w:r>
      <w:r>
        <w:rPr>
          <w:rFonts w:ascii="Times New Roman" w:hAnsi="Times New Roman" w:cs="Times New Roman"/>
          <w:bCs/>
          <w:i/>
          <w:sz w:val="24"/>
          <w:szCs w:val="24"/>
        </w:rPr>
      </w:r>
      <w:r>
        <w:rPr>
          <w:rFonts w:ascii="Times New Roman" w:hAnsi="Times New Roman" w:cs="Times New Roman"/>
          <w:bCs/>
          <w:i/>
          <w:sz w:val="24"/>
          <w:szCs w:val="24"/>
        </w:rPr>
      </w:r>
    </w:p>
    <w:p>
      <w:pPr>
        <w:pBdr/>
        <w:spacing w:line="360" w:lineRule="auto"/>
        <w:ind w:firstLine="720"/>
        <w:contextualSpacing w:val="true"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В</w:t>
      </w:r>
      <w:r>
        <w:rPr>
          <w:rFonts w:ascii="Times New Roman" w:hAnsi="Times New Roman" w:cs="Times New Roman"/>
          <w:sz w:val="24"/>
          <w:szCs w:val="24"/>
        </w:rPr>
        <w:t xml:space="preserve"> рамках исследования рассматривается дискретный сигнал электроэнцефалограммы (ЭЭГ), который включает структурированные и аннотированные сегменты, обозначенные как «ДО», «Функциональная проба» (ФП) и «После». В процессе функциональной пробы регистрируются д</w:t>
      </w:r>
      <w:r>
        <w:rPr>
          <w:rFonts w:ascii="Times New Roman" w:hAnsi="Times New Roman" w:cs="Times New Roman"/>
          <w:sz w:val="24"/>
          <w:szCs w:val="24"/>
        </w:rPr>
        <w:t xml:space="preserve">етализированные частотно-временные характеристики стимулирующего сигнала, что позволяет осуществлять более точный анализ. Наличие указанных условий является строго необходимым для проведения достоверной и всеохватывающей оценки зрелости мозговых ритмов. Пр</w:t>
      </w:r>
      <w:r>
        <w:rPr>
          <w:rFonts w:ascii="Times New Roman" w:hAnsi="Times New Roman" w:cs="Times New Roman"/>
          <w:sz w:val="24"/>
          <w:szCs w:val="24"/>
        </w:rPr>
        <w:t xml:space="preserve">и отсутствии данных условий реализация оценки становится проблематичной, однако эти сегменты могут быть включены в более сложный протокол, где оценка зрелости по текущему алгоритму будет релевантной с учетом поправок на конкретное положение пробы в протоко</w:t>
      </w:r>
      <w:r>
        <w:rPr>
          <w:rFonts w:ascii="Times New Roman" w:hAnsi="Times New Roman" w:cs="Times New Roman"/>
          <w:sz w:val="24"/>
          <w:szCs w:val="24"/>
        </w:rPr>
        <w:t xml:space="preserve">ле.</w:t>
      </w:r>
      <w:r/>
    </w:p>
    <w:p>
      <w:pPr>
        <w:pBdr/>
        <w:spacing w:line="360" w:lineRule="auto"/>
        <w:ind w:firstLine="720"/>
        <w:contextualSpacing w:val="true"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Основная цель заключается в определении суммы рангов, которая включает ключевые чувствительные параметры, которые по отдельности служат для характеристики той или иной стороны зрелости ритмов головного мозга. Ввиду высокой реактивности сигнала ЭЭГ апри</w:t>
      </w:r>
      <w:r>
        <w:rPr>
          <w:rFonts w:ascii="Times New Roman" w:hAnsi="Times New Roman" w:cs="Times New Roman"/>
          <w:sz w:val="24"/>
          <w:szCs w:val="24"/>
        </w:rPr>
        <w:t xml:space="preserve">орная информация о состоянии головного мозга приобретает меньшую релевантность по сравнению с данными, получаемыми непосредственно перед началом функциональной пробы. Как следствие, в отсутствие фрагмента «ДО» невозможно адекватно оценить степень изменений</w:t>
      </w:r>
      <w:r>
        <w:rPr>
          <w:rFonts w:ascii="Times New Roman" w:hAnsi="Times New Roman" w:cs="Times New Roman"/>
          <w:sz w:val="24"/>
          <w:szCs w:val="24"/>
        </w:rPr>
        <w:t xml:space="preserve">, происходящих в альфа-</w:t>
      </w:r>
      <w:r>
        <w:rPr>
          <w:rFonts w:ascii="Times New Roman" w:hAnsi="Times New Roman" w:cs="Times New Roman"/>
          <w:sz w:val="24"/>
          <w:szCs w:val="24"/>
        </w:rPr>
        <w:t xml:space="preserve">тета</w:t>
      </w:r>
      <w:r>
        <w:rPr>
          <w:rFonts w:ascii="Times New Roman" w:hAnsi="Times New Roman" w:cs="Times New Roman"/>
          <w:sz w:val="24"/>
          <w:szCs w:val="24"/>
        </w:rPr>
        <w:t xml:space="preserve"> диапазоне как </w:t>
      </w:r>
      <w:r>
        <w:rPr>
          <w:rFonts w:ascii="Times New Roman" w:hAnsi="Times New Roman" w:cs="Times New Roman"/>
          <w:sz w:val="24"/>
          <w:szCs w:val="24"/>
        </w:rPr>
        <w:t xml:space="preserve">во время</w:t>
      </w:r>
      <w:r>
        <w:rPr>
          <w:rFonts w:ascii="Times New Roman" w:hAnsi="Times New Roman" w:cs="Times New Roman"/>
          <w:sz w:val="24"/>
          <w:szCs w:val="24"/>
        </w:rPr>
        <w:t xml:space="preserve">, так и после завершения ФП.</w:t>
      </w:r>
      <w:r/>
    </w:p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Длительность этапа ФП обусловлена используемым протоколом динамической </w:t>
      </w:r>
      <w:r>
        <w:rPr>
          <w:rFonts w:ascii="Times New Roman" w:hAnsi="Times New Roman" w:cs="Times New Roman"/>
          <w:sz w:val="24"/>
          <w:szCs w:val="24"/>
        </w:rPr>
        <w:t xml:space="preserve">нейромодуляции</w:t>
      </w:r>
      <w:r>
        <w:rPr>
          <w:rFonts w:ascii="Times New Roman" w:hAnsi="Times New Roman" w:cs="Times New Roman"/>
          <w:sz w:val="24"/>
          <w:szCs w:val="24"/>
        </w:rPr>
        <w:t xml:space="preserve">, что требует внимательного выбора. Продолжительность этапов «ДО» и «После» должна определят</w:t>
      </w:r>
      <w:r>
        <w:rPr>
          <w:rFonts w:ascii="Times New Roman" w:hAnsi="Times New Roman" w:cs="Times New Roman"/>
          <w:sz w:val="24"/>
          <w:szCs w:val="24"/>
        </w:rPr>
        <w:t xml:space="preserve">ься исходя из необходимости обеспечения достаточного объема выборки для статистической достоверности и соблюдения условий стационарности состояний характера ритмов ЭЭГ у обследуемого пациента. Данные требования важны для уменьшения вероятности артефактов и</w:t>
      </w:r>
      <w:r>
        <w:rPr>
          <w:rFonts w:ascii="Times New Roman" w:hAnsi="Times New Roman" w:cs="Times New Roman"/>
          <w:sz w:val="24"/>
          <w:szCs w:val="24"/>
        </w:rPr>
        <w:t xml:space="preserve"> повышения значимости и </w:t>
      </w:r>
      <w:r>
        <w:rPr>
          <w:rFonts w:ascii="Times New Roman" w:hAnsi="Times New Roman" w:cs="Times New Roman"/>
          <w:sz w:val="24"/>
          <w:szCs w:val="24"/>
        </w:rPr>
        <w:t xml:space="preserve">достоверности получаемых результатов. Таким образом, соблюдение временных рамок для каждого из этапов критически важны для достижения надежных и воспроизводимых научных результатов.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Блок схема алгоритма представлена на рисунке 2.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801"/>
        <w:tblW w:w="0" w:type="auto"/>
        <w:tblBorders/>
        <w:tblLook w:val="04A0" w:firstRow="1" w:lastRow="0" w:firstColumn="1" w:lastColumn="0" w:noHBand="0" w:noVBand="1"/>
      </w:tblPr>
      <w:tblGrid>
        <w:gridCol w:w="9026"/>
      </w:tblGrid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575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731510" cy="4768662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2330375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31509" cy="476866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" o:spid="_x0000_s1" type="#_x0000_t75" style="width:451.30pt;height:375.49pt;mso-wrap-distance-left:0.00pt;mso-wrap-distance-top:0.00pt;mso-wrap-distance-right:0.00pt;mso-wrap-distance-bottom:0.00pt;z-index:1;" stroked="false">
                      <v:imagedata r:id="rId17" o:title=""/>
                      <o:lock v:ext="edit" rotation="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575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Рисунок 2 -  Блок схема алгоритма автоматической оценки зрелости ритмов головного мозга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Обработка данных</w:t>
      </w: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Данные ЭЭГ обычно представляются в виде зависимости амплитуды ЭЭГ сигнала от времени, для перехода к частотному представлению используется быстрое пр</w:t>
      </w:r>
      <w:r>
        <w:rPr>
          <w:rFonts w:ascii="Times New Roman" w:hAnsi="Times New Roman" w:cs="Times New Roman"/>
          <w:sz w:val="24"/>
          <w:szCs w:val="24"/>
        </w:rPr>
        <w:t xml:space="preserve">еобразование Фурье (БПФ) с окном Ханна и Хэмминга (для снижения влияния краевых оконных эффектов) в скользящем по времени окне.  В результате </w:t>
      </w:r>
      <w:r>
        <w:rPr>
          <w:rFonts w:ascii="Times New Roman" w:hAnsi="Times New Roman" w:cs="Times New Roman"/>
          <w:sz w:val="24"/>
          <w:szCs w:val="24"/>
        </w:rPr>
        <w:t xml:space="preserve">исходаная</w:t>
      </w:r>
      <w:r>
        <w:rPr>
          <w:rFonts w:ascii="Times New Roman" w:hAnsi="Times New Roman" w:cs="Times New Roman"/>
          <w:sz w:val="24"/>
          <w:szCs w:val="24"/>
        </w:rPr>
        <w:t xml:space="preserve"> последовательность преобразуется в многомерный массив, связывающий временное положение окна и двумерный </w:t>
      </w:r>
      <w:r>
        <w:rPr>
          <w:rFonts w:ascii="Times New Roman" w:hAnsi="Times New Roman" w:cs="Times New Roman"/>
          <w:sz w:val="24"/>
          <w:szCs w:val="24"/>
        </w:rPr>
        <w:t xml:space="preserve">амплитудный спектр участка ЭЭГ сигнала.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Вычисление оценки </w:t>
      </w:r>
      <w:r>
        <w:rPr>
          <w:rFonts w:ascii="Times New Roman" w:hAnsi="Times New Roman" w:cs="Times New Roman"/>
          <w:sz w:val="24"/>
          <w:szCs w:val="24"/>
        </w:rPr>
        <w:t xml:space="preserve">α/θ</w:t>
      </w:r>
      <w:r>
        <w:rPr>
          <w:rFonts w:ascii="Times New Roman" w:hAnsi="Times New Roman" w:cs="Times New Roman"/>
          <w:sz w:val="24"/>
          <w:szCs w:val="24"/>
        </w:rPr>
        <w:t xml:space="preserve"> производится по формуле: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801"/>
        <w:tblW w:w="0" w:type="auto"/>
        <w:tblBorders/>
        <w:tblLayout w:type="fixed"/>
        <w:tblLook w:val="04A0" w:firstRow="1" w:lastRow="0" w:firstColumn="1" w:lastColumn="0" w:noHBand="0" w:noVBand="1"/>
      </w:tblPr>
      <w:tblGrid>
        <w:gridCol w:w="9014"/>
        <w:gridCol w:w="567"/>
      </w:tblGrid>
      <w:tr>
        <w:trPr>
          <w:trHeight w:val="828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014" w:type="dxa"/>
            <w:textDirection w:val="lrTb"/>
            <w:noWrap w:val="false"/>
          </w:tcPr>
          <w:p>
            <w:pPr>
              <w:pBdr/>
              <w:spacing w:line="360" w:lineRule="auto"/>
              <w:ind w:firstLine="720"/>
              <w:contextualSpacing w:val="tru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/>
            <m:oMath>
              <m:sSub>
                <m:sSubPr>
                  <m:ctrlPr>
                    <w:rPr>
                      <w:rFonts w:ascii="Cambria Math" w:hAnsi="Cambria Math" w:eastAsia="Cambria Math" w:cs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eastAsia="Cambria Math" w:cs="Cambria Math"/>
                      <w:sz w:val="24"/>
                      <w:szCs w:val="24"/>
                    </w:rPr>
                    <m:rPr/>
                    <m:t>S</m:t>
                  </m:r>
                </m:e>
                <m:sub>
                  <m:r>
                    <w:rPr>
                      <w:rFonts w:ascii="Cambria Math" w:hAnsi="Cambria Math" w:eastAsia="Cambria Math" w:cs="Cambria Math"/>
                      <w:sz w:val="24"/>
                      <w:szCs w:val="24"/>
                    </w:rPr>
                    <m:rPr/>
                    <m:t>α</m:t>
                  </m:r>
                  <m:r>
                    <w:rPr>
                      <w:rFonts w:ascii="Cambria Math" w:hAnsi="Cambria Math" w:eastAsia="Cambria Math" w:cs="Cambria Math"/>
                      <w:sz w:val="24"/>
                      <w:szCs w:val="24"/>
                    </w:rPr>
                    <m:rPr/>
                    <m:t>/</m:t>
                  </m:r>
                  <m:r>
                    <w:rPr>
                      <w:rFonts w:ascii="Cambria Math" w:hAnsi="Cambria Math" w:eastAsia="Cambria Math" w:cs="Cambria Math"/>
                      <w:sz w:val="24"/>
                      <w:szCs w:val="24"/>
                    </w:rPr>
                    <m:rPr/>
                    <m:t>θ</m:t>
                  </m:r>
                </m:sub>
              </m:sSub>
              <m:r>
                <w:rPr>
                  <w:rFonts w:ascii="Cambria Math" w:hAnsi="Cambria Math" w:eastAsia="Cambria Math" w:cs="Cambria Math"/>
                  <w:sz w:val="24"/>
                  <w:szCs w:val="24"/>
                </w:rPr>
                <m:rPr/>
                <m:t>=</m:t>
              </m:r>
              <m:f>
                <m:fPr>
                  <m:ctrlPr>
                    <w:rPr>
                      <w:rFonts w:ascii="Cambria Math" w:hAnsi="Cambria Math" w:eastAsia="Cambria Math" w:cs="Cambria Math"/>
                      <w:i/>
                      <w:sz w:val="24"/>
                      <w:szCs w:val="24"/>
                    </w:rPr>
                  </m:ctrlPr>
                </m:fPr>
                <m:num>
                  <m:nary>
                    <m:naryPr>
                      <m:grow m:val="off"/>
                      <m:limLoc m:val="subSup"/>
                      <m:ctrlPr>
                        <w:rPr>
                          <w:rFonts w:ascii="Cambria Math" w:hAnsi="Cambria Math" w:eastAsia="Cambria Math" w:cs="Cambria Math"/>
                          <w:i/>
                          <w:sz w:val="24"/>
                          <w:szCs w:val="24"/>
                        </w:rPr>
                      </m:ctrlPr>
                    </m:naryPr>
                    <m:sub>
                      <m:r>
                        <w:rPr>
                          <w:rFonts w:ascii="Cambria Math" w:hAnsi="Cambria Math" w:eastAsia="Cambria Math" w:cs="Cambria Math"/>
                          <w:sz w:val="24"/>
                          <w:szCs w:val="24"/>
                        </w:rPr>
                        <m:rPr/>
                        <m:t>8</m:t>
                      </m:r>
                    </m:sub>
                    <m:sup>
                      <m:r>
                        <w:rPr>
                          <w:rFonts w:ascii="Cambria Math" w:hAnsi="Cambria Math" w:eastAsia="Cambria Math" w:cs="Cambria Math"/>
                          <w:sz w:val="24"/>
                          <w:szCs w:val="24"/>
                        </w:rPr>
                        <m:rPr/>
                        <m:t>13</m:t>
                      </m:r>
                    </m:sup>
                    <m:e>
                      <m:r>
                        <w:rPr>
                          <w:rFonts w:ascii="Cambria Math" w:hAnsi="Cambria Math" w:eastAsia="Cambria Math" w:cs="Cambria Math"/>
                          <w:sz w:val="24"/>
                          <w:szCs w:val="24"/>
                        </w:rPr>
                        <m:rPr/>
                        <m:t>A</m:t>
                      </m:r>
                    </m:e>
                  </m:nary>
                </m:num>
                <m:den>
                  <m:nary>
                    <m:naryPr>
                      <m:grow m:val="off"/>
                      <m:limLoc m:val="subSup"/>
                      <m:ctrlPr>
                        <w:rPr>
                          <w:rFonts w:ascii="Cambria Math" w:hAnsi="Cambria Math" w:eastAsia="Cambria Math" w:cs="Cambria Math"/>
                          <w:i/>
                          <w:sz w:val="24"/>
                          <w:szCs w:val="24"/>
                        </w:rPr>
                      </m:ctrlPr>
                    </m:naryPr>
                    <m:sub>
                      <m:r>
                        <w:rPr>
                          <w:rFonts w:ascii="Cambria Math" w:hAnsi="Cambria Math" w:eastAsia="Cambria Math" w:cs="Cambria Math"/>
                          <w:sz w:val="24"/>
                          <w:szCs w:val="24"/>
                        </w:rPr>
                        <m:rPr/>
                        <m:t>4</m:t>
                      </m:r>
                    </m:sub>
                    <m:sup>
                      <m:r>
                        <w:rPr>
                          <w:rFonts w:ascii="Cambria Math" w:hAnsi="Cambria Math" w:eastAsia="Cambria Math" w:cs="Cambria Math"/>
                          <w:sz w:val="24"/>
                          <w:szCs w:val="24"/>
                        </w:rPr>
                        <m:rPr/>
                        <m:t>8</m:t>
                      </m:r>
                    </m:sup>
                    <m:e>
                      <m:r>
                        <w:rPr>
                          <w:rFonts w:ascii="Cambria Math" w:hAnsi="Cambria Math" w:eastAsia="Cambria Math" w:cs="Cambria Math"/>
                          <w:sz w:val="24"/>
                          <w:szCs w:val="24"/>
                        </w:rPr>
                        <m:rPr/>
                        <m:t>A</m:t>
                      </m:r>
                    </m:e>
                  </m:nary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67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(1)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pBdr/>
        <w:spacing w:line="360" w:lineRule="auto"/>
        <w:ind/>
        <w:contextualSpacing w:val="tru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г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де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A – амплитудный спектр ЭЭГ-сигнала,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Вычисление пиковой частоты (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fp</w:t>
      </w:r>
      <w:r>
        <w:rPr>
          <w:rFonts w:ascii="Times New Roman" w:hAnsi="Times New Roman" w:cs="Times New Roman"/>
          <w:sz w:val="24"/>
          <w:szCs w:val="24"/>
        </w:rPr>
        <w:t xml:space="preserve">)</w:t>
      </w:r>
      <w:r>
        <w:rPr>
          <w:rFonts w:ascii="Times New Roman" w:hAnsi="Times New Roman" w:cs="Times New Roman"/>
          <w:sz w:val="24"/>
          <w:szCs w:val="24"/>
        </w:rPr>
        <w:t xml:space="preserve"> осуществляется как поиск частоты осциллятора в диапазоне </w:t>
      </w:r>
      <w:r>
        <w:rPr>
          <w:rFonts w:ascii="Times New Roman" w:hAnsi="Times New Roman" w:cs="Times New Roman"/>
          <w:sz w:val="24"/>
          <w:szCs w:val="24"/>
        </w:rPr>
        <w:t xml:space="preserve">8..</w:t>
      </w:r>
      <w:r>
        <w:rPr>
          <w:rFonts w:ascii="Times New Roman" w:hAnsi="Times New Roman" w:cs="Times New Roman"/>
          <w:sz w:val="24"/>
          <w:szCs w:val="24"/>
        </w:rPr>
        <w:t xml:space="preserve">13 Гц с максимальной амплитудой.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Вычисление </w:t>
      </w:r>
      <w:r>
        <w:rPr>
          <w:rFonts w:ascii="Times New Roman" w:hAnsi="Times New Roman" w:cs="Times New Roman"/>
          <w:sz w:val="24"/>
          <w:szCs w:val="24"/>
        </w:rPr>
        <w:t xml:space="preserve">доминантности</w:t>
      </w:r>
      <w:r>
        <w:rPr>
          <w:rFonts w:ascii="Times New Roman" w:hAnsi="Times New Roman" w:cs="Times New Roman"/>
          <w:sz w:val="24"/>
          <w:szCs w:val="24"/>
        </w:rPr>
        <w:t xml:space="preserve"> альфа пика: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801"/>
        <w:tblW w:w="0" w:type="auto"/>
        <w:tblBorders/>
        <w:tblLayout w:type="fixed"/>
        <w:tblLook w:val="04A0" w:firstRow="1" w:lastRow="0" w:firstColumn="1" w:lastColumn="0" w:noHBand="0" w:noVBand="1"/>
      </w:tblPr>
      <w:tblGrid>
        <w:gridCol w:w="9014"/>
        <w:gridCol w:w="567"/>
      </w:tblGrid>
      <w:tr>
        <w:trPr>
          <w:trHeight w:val="828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014" w:type="dxa"/>
            <w:textDirection w:val="lrTb"/>
            <w:noWrap w:val="false"/>
          </w:tcPr>
          <w:p>
            <w:pPr>
              <w:pBdr/>
              <w:spacing w:line="360" w:lineRule="auto"/>
              <w:ind w:firstLine="720"/>
              <w:contextualSpacing w:val="tru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/>
            <m:oMath>
              <m:r>
                <w:rPr>
                  <w:rFonts w:ascii="Cambria Math" w:hAnsi="Cambria Math" w:eastAsia="Cambria Math" w:cs="Cambria Math"/>
                  <w:sz w:val="24"/>
                  <w:szCs w:val="24"/>
                </w:rPr>
                <m:rPr/>
                <m:t>D</m:t>
              </m:r>
              <m:r>
                <w:rPr>
                  <w:rFonts w:ascii="Cambria Math" w:hAnsi="Cambria Math" w:eastAsia="Cambria Math" w:cs="Cambria Math"/>
                  <w:sz w:val="24"/>
                  <w:szCs w:val="24"/>
                </w:rPr>
                <m:rPr/>
                <m:t>=</m:t>
              </m:r>
              <m:f>
                <m:fPr>
                  <m:ctrlPr>
                    <w:rPr>
                      <w:rFonts w:ascii="Cambria Math" w:hAnsi="Cambria Math" w:eastAsia="Cambria Math" w:cs="Cambria Math"/>
                      <w:i/>
                      <w:sz w:val="24"/>
                    </w:rPr>
                  </m:ctrlPr>
                </m:fPr>
                <m:num>
                  <m:nary>
                    <m:naryPr>
                      <m:grow m:val="off"/>
                      <m:limLoc m:val="undOvr"/>
                      <m:ctrlPr>
                        <w:rPr>
                          <w:rFonts w:ascii="Cambria Math" w:hAnsi="Cambria Math" w:eastAsia="Cambria Math" w:cs="Cambria Math"/>
                          <w:i/>
                          <w:sz w:val="24"/>
                        </w:rPr>
                      </m:ctrlPr>
                    </m:naryPr>
                    <m:sub>
                      <m:r>
                        <w:rPr>
                          <w:rFonts w:ascii="Cambria Math" w:hAnsi="Cambria Math" w:eastAsia="Cambria Math" w:cs="Cambria Math"/>
                          <w:sz w:val="24"/>
                          <w:szCs w:val="24"/>
                        </w:rPr>
                        <m:rPr/>
                        <m:t>fp</m:t>
                      </m:r>
                      <m:r>
                        <w:rPr>
                          <w:rFonts w:ascii="Cambria Math" w:hAnsi="Cambria Math" w:eastAsia="Cambria Math" w:cs="Cambria Math"/>
                        </w:rPr>
                        <m:rPr/>
                        <m:t>-</m:t>
                      </m:r>
                      <m:r>
                        <w:rPr>
                          <w:rFonts w:ascii="Cambria Math" w:hAnsi="Cambria Math" w:eastAsia="Cambria Math" w:cs="Cambria Math"/>
                        </w:rPr>
                        <m:rPr/>
                        <m:t>Δf</m:t>
                      </m:r>
                    </m:sub>
                    <m:sup>
                      <m:r>
                        <w:rPr>
                          <w:rFonts w:ascii="Cambria Math" w:hAnsi="Cambria Math" w:eastAsia="Cambria Math" w:cs="Cambria Math"/>
                          <w:sz w:val="24"/>
                          <w:szCs w:val="24"/>
                        </w:rPr>
                        <m:rPr/>
                        <m:t>fp</m:t>
                      </m:r>
                      <m:r>
                        <w:rPr>
                          <w:rFonts w:ascii="Cambria Math" w:hAnsi="Cambria Math" w:eastAsia="Cambria Math" w:cs="Cambria Math"/>
                        </w:rPr>
                        <m:rPr/>
                        <m:t>+</m:t>
                      </m:r>
                      <m:r>
                        <w:rPr>
                          <w:rFonts w:ascii="Cambria Math" w:hAnsi="Cambria Math" w:eastAsia="Cambria Math" w:cs="Cambria Math"/>
                        </w:rPr>
                        <m:rPr/>
                        <m:t>Δf</m:t>
                      </m:r>
                    </m:sup>
                    <m:e>
                      <m:r>
                        <w:rPr>
                          <w:rFonts w:ascii="Cambria Math" w:hAnsi="Cambria Math" w:eastAsia="Cambria Math" w:cs="Cambria Math"/>
                          <w:sz w:val="24"/>
                          <w:szCs w:val="24"/>
                          <w:lang w:val="en-US"/>
                        </w:rPr>
                        <m:rPr/>
                        <m:t>A</m:t>
                      </m:r>
                    </m:e>
                  </m:nary>
                </m:num>
                <m:den>
                  <m:nary>
                    <m:naryPr>
                      <m:grow m:val="off"/>
                      <m:limLoc m:val="undOvr"/>
                      <m:ctrlPr>
                        <w:rPr>
                          <w:rFonts w:ascii="Cambria Math" w:hAnsi="Cambria Math" w:eastAsia="Cambria Math" w:cs="Cambria Math"/>
                          <w:i/>
                          <w:sz w:val="24"/>
                        </w:rPr>
                      </m:ctrlPr>
                    </m:naryPr>
                    <m:sub>
                      <m:r>
                        <w:rPr>
                          <w:rFonts w:ascii="Cambria Math" w:hAnsi="Cambria Math" w:eastAsia="Cambria Math" w:cs="Cambria Math"/>
                          <w:sz w:val="24"/>
                          <w:szCs w:val="24"/>
                        </w:rPr>
                        <m:rPr/>
                        <m:t>8</m:t>
                      </m:r>
                    </m:sub>
                    <m:sup>
                      <m:r>
                        <w:rPr>
                          <w:rFonts w:ascii="Cambria Math" w:hAnsi="Cambria Math" w:eastAsia="Cambria Math" w:cs="Cambria Math"/>
                          <w:sz w:val="24"/>
                          <w:szCs w:val="24"/>
                        </w:rPr>
                        <m:rPr/>
                        <m:t>13</m:t>
                      </m:r>
                    </m:sup>
                    <m:e>
                      <m:r>
                        <w:rPr>
                          <w:rFonts w:ascii="Cambria Math" w:hAnsi="Cambria Math" w:eastAsia="Cambria Math" w:cs="Cambria Math"/>
                          <w:sz w:val="24"/>
                          <w:szCs w:val="24"/>
                          <w:lang w:val="en-US"/>
                        </w:rPr>
                        <m:rPr/>
                        <m:t>A</m:t>
                      </m:r>
                    </m:e>
                  </m:nary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* 100%,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67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Bdr/>
              <w:spacing w:line="360" w:lineRule="auto"/>
              <w:ind/>
              <w:contextualSpacing w:val="tru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(2)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pBdr/>
        <w:spacing w:line="360" w:lineRule="auto"/>
        <w:ind/>
        <w:contextualSpacing w:val="tru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г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де </w:t>
      </w:r>
      <w:r>
        <w:rPr>
          <w:rFonts w:ascii="Times New Roman" w:hAnsi="Times New Roman" w:eastAsia="Times New Roman" w:cs="Times New Roman"/>
          <w:i/>
          <w:iCs/>
          <w:sz w:val="24"/>
          <w:szCs w:val="24"/>
        </w:rPr>
        <w:t xml:space="preserve">A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– амплитудный спектр ЭЭГ-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сигнала, 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fp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– пиковая частота, </w:t>
      </w:r>
      <w:r>
        <w:rPr>
          <w:rFonts w:ascii="Arial" w:hAnsi="Arial" w:eastAsia="Arial" w:cs="Arial"/>
          <w:sz w:val="24"/>
          <w:szCs w:val="24"/>
        </w:rPr>
        <w:t xml:space="preserve">Δ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f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– окрестность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писоковой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частоты.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Оценка устойчивости альфа-ритма по время функциональной пробы оценивается с помощью оценок </w:t>
      </w:r>
      <m:oMath>
        <m:sSub>
          <m:sSubPr>
            <m:ctrlPr>
              <w:rPr>
                <w:rFonts w:ascii="Cambria Math" w:hAnsi="Cambria Math" w:eastAsia="Cambria Math" w:cs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eastAsia="Cambria Math" w:cs="Cambria Math"/>
                <w:sz w:val="24"/>
                <w:szCs w:val="24"/>
              </w:rPr>
              <m:rPr/>
              <m:t>S</m:t>
            </m:r>
          </m:e>
          <m:sub>
            <m:r>
              <w:rPr>
                <w:rFonts w:ascii="Cambria Math" w:hAnsi="Cambria Math" w:eastAsia="Cambria Math" w:cs="Cambria Math"/>
                <w:sz w:val="24"/>
                <w:szCs w:val="24"/>
              </w:rPr>
              <m:rPr/>
              <m:t>α</m:t>
            </m:r>
            <m:r>
              <w:rPr>
                <w:rFonts w:ascii="Cambria Math" w:hAnsi="Cambria Math" w:eastAsia="Cambria Math" w:cs="Cambria Math"/>
                <w:sz w:val="24"/>
                <w:szCs w:val="24"/>
              </w:rPr>
              <m:rPr/>
              <m:t>/</m:t>
            </m:r>
            <m:r>
              <w:rPr>
                <w:rFonts w:ascii="Cambria Math" w:hAnsi="Cambria Math" w:eastAsia="Cambria Math" w:cs="Cambria Math"/>
                <w:sz w:val="24"/>
                <w:szCs w:val="24"/>
              </w:rPr>
              <m:rPr/>
              <m:t>θ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во время и до стимуляции: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801"/>
        <w:tblW w:w="0" w:type="auto"/>
        <w:tblBorders/>
        <w:tblLayout w:type="fixed"/>
        <w:tblLook w:val="04A0" w:firstRow="1" w:lastRow="0" w:firstColumn="1" w:lastColumn="0" w:noHBand="0" w:noVBand="1"/>
      </w:tblPr>
      <w:tblGrid>
        <w:gridCol w:w="9014"/>
        <w:gridCol w:w="567"/>
      </w:tblGrid>
      <w:tr>
        <w:trPr>
          <w:trHeight w:val="828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014" w:type="dxa"/>
            <w:textDirection w:val="lrTb"/>
            <w:noWrap w:val="false"/>
          </w:tcPr>
          <w:p>
            <w:pPr>
              <w:pBdr/>
              <w:spacing w:line="360" w:lineRule="auto"/>
              <w:ind w:firstLine="720"/>
              <w:contextualSpacing w:val="tru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/>
            <m:oMath>
              <m:r>
                <w:rPr>
                  <w:rFonts w:ascii="Cambria Math" w:hAnsi="Cambria Math" w:eastAsia="Cambria Math" w:cs="Cambria Math"/>
                  <w:sz w:val="24"/>
                  <w:szCs w:val="24"/>
                </w:rPr>
                <m:rPr/>
                <m:t>Sustain</m:t>
              </m:r>
              <m:r>
                <w:rPr>
                  <w:rFonts w:ascii="Cambria Math" w:hAnsi="Cambria Math" w:eastAsia="Cambria Math" w:cs="Cambria Math"/>
                  <w:sz w:val="24"/>
                  <w:szCs w:val="24"/>
                </w:rPr>
                <m:rPr/>
                <m:t>=</m:t>
              </m:r>
              <m:sSub>
                <m:sSubPr>
                  <m:ctrlPr>
                    <w:rPr>
                      <w:rFonts w:ascii="Cambria Math" w:hAnsi="Cambria Math" w:eastAsia="Cambria Math" w:cs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eastAsia="Cambria Math" w:cs="Cambria Math"/>
                      <w:sz w:val="24"/>
                      <w:szCs w:val="24"/>
                    </w:rPr>
                    <m:rPr/>
                    <m:t>S</m:t>
                  </m:r>
                </m:e>
                <m:sub>
                  <m:r>
                    <w:rPr>
                      <w:rFonts w:ascii="Cambria Math" w:hAnsi="Cambria Math" w:eastAsia="Cambria Math" w:cs="Cambria Math"/>
                      <w:sz w:val="24"/>
                      <w:szCs w:val="24"/>
                    </w:rPr>
                    <m:rPr/>
                    <m:t>α</m:t>
                  </m:r>
                  <m:r>
                    <w:rPr>
                      <w:rFonts w:ascii="Cambria Math" w:hAnsi="Cambria Math" w:eastAsia="Cambria Math" w:cs="Cambria Math"/>
                      <w:sz w:val="24"/>
                      <w:szCs w:val="24"/>
                    </w:rPr>
                    <m:rPr/>
                    <m:t>/</m:t>
                  </m:r>
                  <m:r>
                    <w:rPr>
                      <w:rFonts w:ascii="Cambria Math" w:hAnsi="Cambria Math" w:eastAsia="Cambria Math" w:cs="Cambria Math"/>
                      <w:sz w:val="24"/>
                      <w:szCs w:val="24"/>
                    </w:rPr>
                    <m:rPr/>
                    <m:t>θ</m:t>
                  </m:r>
                </m:sub>
              </m:sSub>
              <m:r>
                <w:rPr>
                  <w:rFonts w:ascii="Cambria Math" w:hAnsi="Cambria Math" w:eastAsia="Cambria Math" w:cs="Cambria Math"/>
                </w:rPr>
                <m:rPr/>
                <m:t>ф -</m:t>
              </m:r>
              <m:sSub>
                <m:sSubPr>
                  <m:ctrlPr>
                    <w:rPr>
                      <w:rFonts w:ascii="Cambria Math" w:hAnsi="Cambria Math" w:eastAsia="Cambria Math" w:cs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eastAsia="Cambria Math" w:cs="Cambria Math"/>
                      <w:sz w:val="24"/>
                      <w:szCs w:val="24"/>
                    </w:rPr>
                    <m:rPr/>
                    <m:t>S</m:t>
                  </m:r>
                </m:e>
                <m:sub>
                  <m:r>
                    <w:rPr>
                      <w:rFonts w:ascii="Cambria Math" w:hAnsi="Cambria Math" w:eastAsia="Cambria Math" w:cs="Cambria Math"/>
                      <w:sz w:val="24"/>
                      <w:szCs w:val="24"/>
                    </w:rPr>
                    <m:rPr/>
                    <m:t>α</m:t>
                  </m:r>
                  <m:r>
                    <w:rPr>
                      <w:rFonts w:ascii="Cambria Math" w:hAnsi="Cambria Math" w:eastAsia="Cambria Math" w:cs="Cambria Math"/>
                      <w:sz w:val="24"/>
                      <w:szCs w:val="24"/>
                    </w:rPr>
                    <m:rPr/>
                    <m:t>/</m:t>
                  </m:r>
                  <m:r>
                    <w:rPr>
                      <w:rFonts w:ascii="Cambria Math" w:hAnsi="Cambria Math" w:eastAsia="Cambria Math" w:cs="Cambria Math"/>
                      <w:sz w:val="24"/>
                      <w:szCs w:val="24"/>
                    </w:rPr>
                    <m:rPr/>
                    <m:t>θ</m:t>
                  </m:r>
                </m:sub>
              </m:sSub>
              <m:r>
                <w:rPr>
                  <w:rFonts w:ascii="Cambria Math" w:hAnsi="Cambria Math" w:eastAsia="Cambria Math" w:cs="Cambria Math"/>
                </w:rPr>
                <m:rPr/>
                <m:t>с </m:t>
              </m:r>
              <m:r>
                <w:rPr>
                  <w:rFonts w:ascii="Cambria Math" w:hAnsi="Cambria Math" w:eastAsia="Cambria Math" w:cs="Cambria Math"/>
                </w:rPr>
                <m:rPr/>
                <m:t>→</m:t>
              </m:r>
              <m:r>
                <w:rPr>
                  <w:rFonts w:ascii="Cambria Math" w:hAnsi="Cambria Math" w:eastAsia="Cambria Math" w:cs="Cambria Math"/>
                </w:rPr>
                <m:rPr/>
                <m:t>0 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67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(3)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Оценка усвоения ритма производится с помощью формулы</w:t>
      </w:r>
      <w:r>
        <w:rPr>
          <w:rFonts w:ascii="Times New Roman" w:hAnsi="Times New Roman" w:cs="Times New Roman"/>
          <w:sz w:val="24"/>
          <w:szCs w:val="24"/>
        </w:rPr>
        <w:t xml:space="preserve"> (рис.3):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801"/>
        <w:tblW w:w="0" w:type="auto"/>
        <w:tblBorders/>
        <w:tblLayout w:type="fixed"/>
        <w:tblLook w:val="04A0" w:firstRow="1" w:lastRow="0" w:firstColumn="1" w:lastColumn="0" w:noHBand="0" w:noVBand="1"/>
      </w:tblPr>
      <w:tblGrid>
        <w:gridCol w:w="9014"/>
        <w:gridCol w:w="567"/>
      </w:tblGrid>
      <w:tr>
        <w:trPr>
          <w:trHeight w:val="828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014" w:type="dxa"/>
            <w:textDirection w:val="lrTb"/>
            <w:noWrap w:val="false"/>
          </w:tcPr>
          <w:p>
            <w:pPr>
              <w:pBdr/>
              <w:spacing w:line="360" w:lineRule="auto"/>
              <w:ind w:firstLine="720"/>
              <w:contextualSpacing w:val="tru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/>
            <m:oMath>
              <m:r>
                <w:rPr>
                  <w:rFonts w:ascii="Cambria Math" w:hAnsi="Cambria Math" w:eastAsia="Cambria Math" w:cs="Cambria Math"/>
                  <w:sz w:val="24"/>
                  <w:szCs w:val="24"/>
                </w:rPr>
                <m:rPr/>
                <m:t>Sustain</m:t>
              </m:r>
              <m:r>
                <w:rPr>
                  <w:rFonts w:ascii="Cambria Math" w:hAnsi="Cambria Math" w:eastAsia="Cambria Math" w:cs="Cambria Math"/>
                  <w:sz w:val="24"/>
                  <w:szCs w:val="24"/>
                </w:rPr>
                <m:rPr/>
                <m:t>=</m:t>
              </m:r>
              <m:sSub>
                <m:sSubPr>
                  <m:ctrlPr>
                    <w:rPr>
                      <w:rFonts w:ascii="Cambria Math" w:hAnsi="Cambria Math" w:eastAsia="Cambria Math" w:cs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eastAsia="Cambria Math" w:cs="Cambria Math"/>
                      <w:sz w:val="24"/>
                      <w:szCs w:val="24"/>
                    </w:rPr>
                    <m:rPr/>
                    <m:t>S</m:t>
                  </m:r>
                </m:e>
                <m:sub>
                  <m:r>
                    <w:rPr>
                      <w:rFonts w:ascii="Cambria Math" w:hAnsi="Cambria Math" w:eastAsia="Cambria Math" w:cs="Cambria Math"/>
                      <w:sz w:val="24"/>
                      <w:szCs w:val="24"/>
                    </w:rPr>
                    <m:rPr/>
                    <m:t>α</m:t>
                  </m:r>
                  <m:r>
                    <w:rPr>
                      <w:rFonts w:ascii="Cambria Math" w:hAnsi="Cambria Math" w:eastAsia="Cambria Math" w:cs="Cambria Math"/>
                      <w:sz w:val="24"/>
                      <w:szCs w:val="24"/>
                    </w:rPr>
                    <m:rPr/>
                    <m:t>/</m:t>
                  </m:r>
                  <m:r>
                    <w:rPr>
                      <w:rFonts w:ascii="Cambria Math" w:hAnsi="Cambria Math" w:eastAsia="Cambria Math" w:cs="Cambria Math"/>
                      <w:sz w:val="24"/>
                      <w:szCs w:val="24"/>
                    </w:rPr>
                    <m:rPr/>
                    <m:t>θ</m:t>
                  </m:r>
                </m:sub>
              </m:sSub>
              <m:r>
                <w:rPr>
                  <w:rFonts w:ascii="Cambria Math" w:hAnsi="Cambria Math" w:eastAsia="Cambria Math" w:cs="Cambria Math"/>
                </w:rPr>
                <m:rPr/>
                <m:t>ф -</m:t>
              </m:r>
              <m:sSub>
                <m:sSubPr>
                  <m:ctrlPr>
                    <w:rPr>
                      <w:rFonts w:ascii="Cambria Math" w:hAnsi="Cambria Math" w:eastAsia="Cambria Math" w:cs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eastAsia="Cambria Math" w:cs="Cambria Math"/>
                      <w:sz w:val="24"/>
                      <w:szCs w:val="24"/>
                    </w:rPr>
                    <m:rPr/>
                    <m:t>S</m:t>
                  </m:r>
                </m:e>
                <m:sub>
                  <m:r>
                    <w:rPr>
                      <w:rFonts w:ascii="Cambria Math" w:hAnsi="Cambria Math" w:eastAsia="Cambria Math" w:cs="Cambria Math"/>
                      <w:sz w:val="24"/>
                      <w:szCs w:val="24"/>
                    </w:rPr>
                    <m:rPr/>
                    <m:t>α</m:t>
                  </m:r>
                  <m:r>
                    <w:rPr>
                      <w:rFonts w:ascii="Cambria Math" w:hAnsi="Cambria Math" w:eastAsia="Cambria Math" w:cs="Cambria Math"/>
                      <w:sz w:val="24"/>
                      <w:szCs w:val="24"/>
                    </w:rPr>
                    <m:rPr/>
                    <m:t>/</m:t>
                  </m:r>
                  <m:r>
                    <w:rPr>
                      <w:rFonts w:ascii="Cambria Math" w:hAnsi="Cambria Math" w:eastAsia="Cambria Math" w:cs="Cambria Math"/>
                      <w:sz w:val="24"/>
                      <w:szCs w:val="24"/>
                    </w:rPr>
                    <m:rPr/>
                    <m:t>θ</m:t>
                  </m:r>
                </m:sub>
              </m:sSub>
              <m:r>
                <w:rPr>
                  <w:rFonts w:ascii="Cambria Math" w:hAnsi="Cambria Math" w:eastAsia="Cambria Math" w:cs="Cambria Math"/>
                </w:rPr>
                <m:rPr/>
                <m:t>с </m:t>
              </m:r>
              <m:r>
                <w:rPr>
                  <w:rFonts w:ascii="Cambria Math" w:hAnsi="Cambria Math" w:eastAsia="Cambria Math" w:cs="Cambria Math"/>
                </w:rPr>
                <m:rPr/>
                <m:t>→</m:t>
              </m:r>
              <m:r>
                <w:rPr>
                  <w:rFonts w:ascii="Cambria Math" w:hAnsi="Cambria Math" w:eastAsia="Cambria Math" w:cs="Cambria Math"/>
                </w:rPr>
                <m:rPr/>
                <m:t>0 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67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(4)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Графическое представление выделения эффекта усвоения ритма и мультипликации представлено на рисунке 4.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801"/>
        <w:tblW w:w="0" w:type="auto"/>
        <w:tblBorders/>
        <w:tblLook w:val="04A0" w:firstRow="1" w:lastRow="0" w:firstColumn="1" w:lastColumn="0" w:noHBand="0" w:noVBand="1"/>
      </w:tblPr>
      <w:tblGrid>
        <w:gridCol w:w="9026"/>
      </w:tblGrid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575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  <w:p>
            <w:pPr>
              <w:pBdr/>
              <w:spacing w:line="360" w:lineRule="auto"/>
              <w:ind/>
              <w:contextualSpacing w:val="true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731510" cy="4391239"/>
                      <wp:effectExtent l="0" t="0" r="0" b="0"/>
                      <wp:docPr id="3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76900018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31509" cy="439123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2" o:spid="_x0000_s2" type="#_x0000_t75" style="width:451.30pt;height:345.77pt;mso-wrap-distance-left:0.00pt;mso-wrap-distance-top:0.00pt;mso-wrap-distance-right:0.00pt;mso-wrap-distance-bottom:0.00pt;z-index:1;" stroked="false">
                      <v:imagedata r:id="rId18" o:title=""/>
                      <o:lock v:ext="edit" rotation="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  <w:p>
            <w:pPr>
              <w:pBdr/>
              <w:spacing w:line="360" w:lineRule="auto"/>
              <w:ind/>
              <w:contextualSpacing w:val="true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575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Рисунок 3 -  Блок схема алгоритма оценки усвоения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Оценка мультипликации</w:t>
      </w:r>
      <w:r>
        <w:rPr>
          <w:rFonts w:ascii="Times New Roman" w:hAnsi="Times New Roman" w:cs="Times New Roman"/>
          <w:sz w:val="24"/>
          <w:szCs w:val="24"/>
        </w:rPr>
        <w:t xml:space="preserve"> оценивается с помощью коэффициента гармонических искажений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К</w:t>
      </w:r>
      <w:r>
        <w:rPr>
          <w:rFonts w:ascii="Times New Roman" w:hAnsi="Times New Roman" w:cs="Times New Roman"/>
          <w:sz w:val="24"/>
          <w:szCs w:val="24"/>
        </w:rPr>
        <w:t xml:space="preserve">г [3,4]: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801"/>
        <w:tblW w:w="0" w:type="auto"/>
        <w:tblBorders/>
        <w:tblLayout w:type="fixed"/>
        <w:tblLook w:val="04A0" w:firstRow="1" w:lastRow="0" w:firstColumn="1" w:lastColumn="0" w:noHBand="0" w:noVBand="1"/>
      </w:tblPr>
      <w:tblGrid>
        <w:gridCol w:w="9014"/>
        <w:gridCol w:w="567"/>
      </w:tblGrid>
      <w:tr>
        <w:trPr>
          <w:trHeight w:val="828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014" w:type="dxa"/>
            <w:vMerge w:val="restart"/>
            <w:textDirection w:val="lrTb"/>
            <w:noWrap w:val="false"/>
          </w:tcPr>
          <w:p>
            <w:pPr>
              <w:pBdr/>
              <w:spacing w:line="360" w:lineRule="auto"/>
              <w:ind w:firstLine="720"/>
              <w:contextualSpacing w:val="tru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250324" cy="512894"/>
                      <wp:effectExtent l="0" t="0" r="0" b="0"/>
                      <wp:docPr id="4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65679514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250323" cy="51289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3" o:spid="_x0000_s3" type="#_x0000_t75" style="width:177.19pt;height:40.39pt;mso-wrap-distance-left:0.00pt;mso-wrap-distance-top:0.00pt;mso-wrap-distance-right:0.00pt;mso-wrap-distance-bottom:0.00pt;z-index:1;" stroked="false">
                      <v:imagedata r:id="rId19" o:title=""/>
                      <o:lock v:ext="edit" rotation="t"/>
                    </v:shape>
                  </w:pict>
                </mc:Fallback>
              </mc:AlternateContent>
            </w:r>
            <w:r>
              <w:t xml:space="preserve">,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67" w:type="dxa"/>
            <w:vMerge w:val="restart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(5)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Bdr/>
              <w:spacing w:line="360" w:lineRule="auto"/>
              <w:ind/>
              <w:contextualSpacing w:val="tru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828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014" w:type="dxa"/>
            <w:textDirection w:val="lrTb"/>
            <w:noWrap w:val="false"/>
          </w:tcPr>
          <w:p>
            <w:pPr>
              <w:pBdr/>
              <w:spacing w:line="360" w:lineRule="auto"/>
              <w:ind w:firstLine="720"/>
              <w:contextualSpacing w:val="tru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/>
            <m:oMath>
              <m:r>
                <w:rPr>
                  <w:rFonts w:ascii="Cambria Math" w:hAnsi="Cambria Math" w:eastAsia="Cambria Math" w:cs="Cambria Math"/>
                  <w:sz w:val="24"/>
                  <w:szCs w:val="24"/>
                </w:rPr>
                <m:rPr/>
                <m:t>M</m:t>
              </m:r>
              <m:r>
                <w:rPr>
                  <w:rFonts w:ascii="Cambria Math" w:hAnsi="Cambria Math" w:eastAsia="Cambria Math" w:cs="Cambria Math"/>
                  <w:sz w:val="24"/>
                  <w:szCs w:val="24"/>
                </w:rPr>
                <m:rPr/>
                <m:t>=</m:t>
              </m:r>
              <m:f>
                <m:fPr>
                  <m:ctrlPr>
                    <w:rPr>
                      <w:rFonts w:ascii="Cambria Math" w:hAnsi="Cambria Math" w:eastAsia="Cambria Math" w:cs="Cambria Math"/>
                      <w:i/>
                      <w:sz w:val="24"/>
                    </w:rPr>
                  </m:ctrlPr>
                </m:fPr>
                <m:num>
                  <m:nary>
                    <m:naryPr>
                      <m:chr m:val="∑"/>
                      <m:grow m:val="off"/>
                      <m:limLoc m:val="undOvr"/>
                      <m:supHide m:val="on"/>
                      <m:ctrlPr>
                        <w:rPr>
                          <w:rFonts w:ascii="Cambria Math" w:hAnsi="Cambria Math" w:eastAsia="Cambria Math" w:cs="Cambria Math"/>
                          <w:i/>
                          <w:sz w:val="24"/>
                        </w:rPr>
                      </m:ctrlPr>
                    </m:naryPr>
                    <m:sub>
                      <m:r>
                        <w:rPr>
                          <w:rFonts w:ascii="Cambria Math" w:hAnsi="Cambria Math" w:eastAsia="Cambria Math" w:cs="Cambria Math"/>
                        </w:rPr>
                        <m:rPr/>
                        <m:t>&gt; 75%</m:t>
                      </m:r>
                    </m:sub>
                    <m:sup/>
                    <m:e>
                      <m:r>
                        <w:rPr>
                          <w:rFonts w:ascii="Cambria Math" w:hAnsi="Cambria Math" w:eastAsia="Cambria Math" w:cs="Cambria Math"/>
                          <w:sz w:val="24"/>
                          <w:szCs w:val="24"/>
                          <w:lang w:val="en-US"/>
                        </w:rPr>
                        <m:rPr/>
                        <m:t>K</m:t>
                      </m:r>
                      <m:r>
                        <w:rPr>
                          <w:rFonts w:ascii="Cambria Math" w:hAnsi="Cambria Math" w:eastAsia="Cambria Math" w:cs="Cambria Math"/>
                          <w:sz w:val="24"/>
                          <w:szCs w:val="24"/>
                          <w:lang w:val="en-US"/>
                        </w:rPr>
                        <m:rPr/>
                        <m:t>г</m:t>
                      </m:r>
                      <m:r>
                        <w:rPr>
                          <w:rFonts w:ascii="Cambria Math" w:hAnsi="Cambria Math" w:eastAsia="Cambria Math" w:cs="Cambria Math"/>
                          <w:sz w:val="24"/>
                          <w:szCs w:val="24"/>
                          <w:lang w:val="en-US"/>
                        </w:rPr>
                        <m:rPr/>
                        <m:t>i</m:t>
                      </m:r>
                    </m:e>
                  </m:nary>
                </m:num>
                <m:den>
                  <m:r>
                    <w:rPr>
                      <w:rFonts w:ascii="Cambria Math" w:hAnsi="Cambria Math" w:eastAsia="Cambria Math" w:cs="Cambria Math"/>
                      <w:sz w:val="24"/>
                      <w:szCs w:val="24"/>
                    </w:rPr>
                    <m:rPr/>
                    <m:t>Nf</m:t>
                  </m:r>
                </m:den>
              </m:f>
              <m:r>
                <w:rPr>
                  <w:rFonts w:ascii="Cambria Math" w:hAnsi="Cambria Math" w:eastAsia="Cambria Math" w:cs="Cambria Math"/>
                </w:rPr>
                <m:rPr/>
                <m:t> &gt; 0,6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67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Bdr/>
              <w:spacing w:line="360" w:lineRule="auto"/>
              <w:ind/>
              <w:contextualSpacing w:val="tru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(6)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pBdr/>
        <w:spacing w:line="360" w:lineRule="auto"/>
        <w:ind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где, </w:t>
      </w:r>
      <w:r>
        <w:rPr>
          <w:rFonts w:ascii="Times New Roman" w:hAnsi="Times New Roman" w:cs="Times New Roman"/>
          <w:sz w:val="24"/>
          <w:szCs w:val="24"/>
        </w:rPr>
        <w:t xml:space="preserve">Ui</w:t>
      </w:r>
      <w:r>
        <w:rPr>
          <w:rFonts w:ascii="Times New Roman" w:hAnsi="Times New Roman" w:cs="Times New Roman"/>
          <w:sz w:val="24"/>
          <w:szCs w:val="24"/>
        </w:rPr>
        <w:t xml:space="preserve"> – амплитуды гармоник, </w:t>
      </w:r>
      <w:r>
        <w:rPr>
          <w:rFonts w:ascii="Times New Roman" w:hAnsi="Times New Roman" w:cs="Times New Roman"/>
          <w:sz w:val="24"/>
          <w:szCs w:val="24"/>
        </w:rPr>
        <w:t xml:space="preserve">Nf</w:t>
      </w:r>
      <w:r>
        <w:rPr>
          <w:rFonts w:ascii="Times New Roman" w:hAnsi="Times New Roman" w:cs="Times New Roman"/>
          <w:sz w:val="24"/>
          <w:szCs w:val="24"/>
        </w:rPr>
        <w:t xml:space="preserve"> – количество частот стимуляции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Графическое представление выделения эффекта мультипликации ритма и мультипликации представлено на рисунке 5.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801"/>
        <w:tblW w:w="0" w:type="auto"/>
        <w:tblBorders/>
        <w:tblLook w:val="04A0" w:firstRow="1" w:lastRow="0" w:firstColumn="1" w:lastColumn="0" w:noHBand="0" w:noVBand="1"/>
      </w:tblPr>
      <w:tblGrid>
        <w:gridCol w:w="9026"/>
      </w:tblGrid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575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731510" cy="4583833"/>
                      <wp:effectExtent l="0" t="0" r="0" b="0"/>
                      <wp:docPr id="5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67263434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31509" cy="458383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4" o:spid="_x0000_s4" type="#_x0000_t75" style="width:451.30pt;height:360.93pt;mso-wrap-distance-left:0.00pt;mso-wrap-distance-top:0.00pt;mso-wrap-distance-right:0.00pt;mso-wrap-distance-bottom:0.00pt;z-index:1;" stroked="false">
                      <v:imagedata r:id="rId20" o:title=""/>
                      <o:lock v:ext="edit" rotation="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575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Рисунок  4 -  Блок схема алгоритма оценки мультипликации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Ранжирование</w:t>
      </w: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1. Веса характеристик зрелости в общей оценке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801"/>
        <w:tblW w:w="0" w:type="auto"/>
        <w:tblBorders/>
        <w:tblLook w:val="04A0" w:firstRow="1" w:lastRow="0" w:firstColumn="1" w:lastColumn="0" w:noHBand="0" w:noVBand="1"/>
      </w:tblPr>
      <w:tblGrid>
        <w:gridCol w:w="1314"/>
        <w:gridCol w:w="1272"/>
        <w:gridCol w:w="1650"/>
        <w:gridCol w:w="1484"/>
        <w:gridCol w:w="1979"/>
        <w:gridCol w:w="1317"/>
      </w:tblGrid>
      <w:tr>
        <w:trPr/>
        <w:tc>
          <w:tcPr>
            <w:tcBorders/>
            <w:tcW w:w="1596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159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/>
            <m:oMath>
              <m:r>
                <w:rPr>
                  <w:rFonts w:ascii="Cambria Math" w:hAnsi="Cambria Math" w:eastAsia="Cambria Math" w:cs="Cambria Math"/>
                </w:rPr>
                <m:rPr/>
                <m:t>α</m:t>
              </m:r>
              <m:r>
                <w:rPr>
                  <w:rFonts w:ascii="Cambria Math" w:hAnsi="Cambria Math" w:eastAsia="Cambria Math" w:cs="Cambria Math"/>
                </w:rPr>
                <m:rPr/>
                <m:t>/</m:t>
              </m:r>
              <m:r>
                <w:rPr>
                  <w:rFonts w:ascii="Cambria Math" w:hAnsi="Cambria Math" w:eastAsia="Cambria Math" w:cs="Cambria Math"/>
                </w:rPr>
                <m:rPr/>
                <m:t>θ</m:t>
              </m:r>
            </m:oMath>
            <w:r>
              <w:t xml:space="preserve"> + D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159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Устойчивость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Sustain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159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Усвоение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Assump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159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Мультипликация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159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Δ</w:t>
            </w:r>
            <m:oMath>
              <m:r>
                <w:rPr>
                  <w:rFonts w:ascii="Cambria Math" w:hAnsi="Cambria Math" w:eastAsia="Cambria Math" w:cs="Cambria Math"/>
                </w:rPr>
                <m:rPr/>
                <m:t>α</m:t>
              </m:r>
              <m:r>
                <w:rPr>
                  <w:rFonts w:ascii="Cambria Math" w:hAnsi="Cambria Math" w:eastAsia="Cambria Math" w:cs="Cambria Math"/>
                </w:rPr>
                <m:rPr/>
                <m:t>/</m:t>
              </m:r>
              <m:r>
                <w:rPr>
                  <w:rFonts w:ascii="Cambria Math" w:hAnsi="Cambria Math" w:eastAsia="Cambria Math" w:cs="Cambria Math"/>
                </w:rPr>
                <m:rPr/>
                <m:t>θ</m:t>
              </m:r>
            </m:oMath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484"/>
        </w:trPr>
        <w:tc>
          <w:tcPr>
            <w:tcBorders/>
            <w:tcW w:w="159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159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159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159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159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159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pBdr/>
        <w:spacing/>
        <w:ind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 w:clear="all"/>
      </w: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801"/>
        <w:tblW w:w="0" w:type="auto"/>
        <w:tblBorders/>
        <w:tblLook w:val="04A0" w:firstRow="1" w:lastRow="0" w:firstColumn="1" w:lastColumn="0" w:noHBand="0" w:noVBand="1"/>
      </w:tblPr>
      <w:tblGrid>
        <w:gridCol w:w="9026"/>
      </w:tblGrid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575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731510" cy="2133757"/>
                      <wp:effectExtent l="0" t="0" r="0" b="0"/>
                      <wp:docPr id="6" name="Рисунок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59267988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31509" cy="213375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5" o:spid="_x0000_s5" type="#_x0000_t75" style="width:451.30pt;height:168.01pt;mso-wrap-distance-left:0.00pt;mso-wrap-distance-top:0.00pt;mso-wrap-distance-right:0.00pt;mso-wrap-distance-bottom:0.00pt;z-index:1;" stroked="false">
                      <v:imagedata r:id="rId21" o:title=""/>
                      <o:lock v:ext="edit" rotation="t"/>
                    </v:shape>
                  </w:pict>
                </mc:Fallback>
              </mc:AlternateContent>
            </w:r>
            <w:r/>
          </w:p>
          <w:p>
            <w:pPr>
              <w:pBdr/>
              <w:spacing/>
              <w:ind/>
              <w:jc w:val="center"/>
              <w:rPr/>
            </w:pPr>
            <w:r>
              <w:t xml:space="preserve">а)</w:t>
            </w:r>
            <w:r/>
          </w:p>
          <w:p>
            <w:pPr>
              <w:pBdr/>
              <w:spacing/>
              <w:ind/>
              <w:jc w:val="center"/>
              <w:rPr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731510" cy="2111609"/>
                      <wp:effectExtent l="0" t="0" r="0" b="0"/>
                      <wp:docPr id="7" name="Рисунок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03727652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31509" cy="21116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6" o:spid="_x0000_s6" type="#_x0000_t75" style="width:451.30pt;height:166.27pt;mso-wrap-distance-left:0.00pt;mso-wrap-distance-top:0.00pt;mso-wrap-distance-right:0.00pt;mso-wrap-distance-bottom:0.00pt;z-index:1;" stroked="false">
                      <v:imagedata r:id="rId22" o:title=""/>
                      <o:lock v:ext="edit" rotation="t"/>
                    </v:shape>
                  </w:pict>
                </mc:Fallback>
              </mc:AlternateContent>
            </w:r>
            <w:r/>
          </w:p>
          <w:p>
            <w:pPr>
              <w:pBdr/>
              <w:spacing w:line="360" w:lineRule="auto"/>
              <w:ind/>
              <w:contextualSpacing w:val="tru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Bdr/>
              <w:spacing w:line="360" w:lineRule="auto"/>
              <w:ind/>
              <w:contextualSpacing w:val="true"/>
              <w:jc w:val="center"/>
              <w:rPr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731510" cy="1023273"/>
                      <wp:effectExtent l="0" t="0" r="0" b="0"/>
                      <wp:docPr id="8" name="Рисунок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5333912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31509" cy="102327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7" o:spid="_x0000_s7" type="#_x0000_t75" style="width:451.30pt;height:80.57pt;mso-wrap-distance-left:0.00pt;mso-wrap-distance-top:0.00pt;mso-wrap-distance-right:0.00pt;mso-wrap-distance-bottom:0.00pt;z-index:1;" stroked="false">
                      <v:imagedata r:id="rId23" o:title=""/>
                      <o:lock v:ext="edit" rotation="t"/>
                    </v:shape>
                  </w:pict>
                </mc:Fallback>
              </mc:AlternateContent>
            </w:r>
            <w:r/>
          </w:p>
          <w:p>
            <w:pPr>
              <w:pBdr/>
              <w:spacing w:line="360" w:lineRule="auto"/>
              <w:ind/>
              <w:contextualSpacing w:val="true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t xml:space="preserve">в)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575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Рисунок 5 -  Графическое представление выделения эффектов мультипликации и усвоения а) регистрация с без эффекта усвоения, б) – регистрация с эффектом усвоения, в) – типичный график Кг(f) при наличии эффекта усвоения и мультипликации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67"/>
        <w:pBdr/>
        <w:spacing/>
        <w:ind/>
        <w:rPr>
          <w:rFonts w:ascii="Times New Roman" w:hAnsi="Times New Roman" w:cs="Times New Roman"/>
          <w:b/>
          <w:bCs/>
          <w:sz w:val="24"/>
          <w:szCs w:val="24"/>
        </w:rPr>
      </w:pPr>
      <w:r/>
      <w:bookmarkStart w:id="8" w:name="_Toc6"/>
      <w:r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Апробация  работы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алгоритма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оценки зрелости</w:t>
      </w:r>
      <w:bookmarkEnd w:id="8"/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 xml:space="preserve">аппробации</w:t>
      </w:r>
      <w:r>
        <w:rPr>
          <w:rFonts w:ascii="Times New Roman" w:hAnsi="Times New Roman" w:cs="Times New Roman"/>
          <w:sz w:val="24"/>
          <w:szCs w:val="24"/>
        </w:rPr>
        <w:t xml:space="preserve"> алгоритма использовался аудиовизуальный комплекс для коррекции психосоматических состояний “</w:t>
      </w:r>
      <w:r>
        <w:rPr>
          <w:rFonts w:ascii="Times New Roman" w:hAnsi="Times New Roman" w:cs="Times New Roman"/>
          <w:sz w:val="24"/>
          <w:szCs w:val="24"/>
        </w:rPr>
        <w:t xml:space="preserve">НейроОптима</w:t>
      </w:r>
      <w:r>
        <w:rPr>
          <w:rFonts w:ascii="Times New Roman" w:hAnsi="Times New Roman" w:cs="Times New Roman"/>
          <w:sz w:val="24"/>
          <w:szCs w:val="24"/>
        </w:rPr>
        <w:t xml:space="preserve">” (произв. ООО НПФ “Реабилитационные технологии”). Характеристики комплекса представлены в таблице 2.  Внешний </w:t>
      </w:r>
      <w:r>
        <w:rPr>
          <w:rFonts w:ascii="Times New Roman" w:hAnsi="Times New Roman" w:cs="Times New Roman"/>
          <w:sz w:val="24"/>
          <w:szCs w:val="24"/>
        </w:rPr>
        <w:t xml:space="preserve">вид представлен на рисунке 6.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2 – Технические </w:t>
      </w:r>
      <w:r>
        <w:rPr>
          <w:rFonts w:ascii="Times New Roman" w:hAnsi="Times New Roman" w:cs="Times New Roman"/>
          <w:sz w:val="24"/>
          <w:szCs w:val="24"/>
        </w:rPr>
        <w:t xml:space="preserve">характерстики</w:t>
      </w:r>
      <w:r>
        <w:rPr>
          <w:rFonts w:ascii="Times New Roman" w:hAnsi="Times New Roman" w:cs="Times New Roman"/>
          <w:sz w:val="24"/>
          <w:szCs w:val="24"/>
        </w:rPr>
        <w:t xml:space="preserve"> комплекса “</w:t>
      </w:r>
      <w:r>
        <w:rPr>
          <w:rFonts w:ascii="Times New Roman" w:hAnsi="Times New Roman" w:cs="Times New Roman"/>
          <w:sz w:val="24"/>
          <w:szCs w:val="24"/>
        </w:rPr>
        <w:t xml:space="preserve">НейроОптима</w:t>
      </w:r>
      <w:r>
        <w:rPr>
          <w:rFonts w:ascii="Times New Roman" w:hAnsi="Times New Roman" w:cs="Times New Roman"/>
          <w:sz w:val="24"/>
          <w:szCs w:val="24"/>
        </w:rPr>
        <w:t xml:space="preserve">”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801"/>
        <w:tblW w:w="0" w:type="auto"/>
        <w:tblBorders/>
        <w:tblLayout w:type="fixed"/>
        <w:tblLook w:val="04A0" w:firstRow="1" w:lastRow="0" w:firstColumn="1" w:lastColumn="0" w:noHBand="0" w:noVBand="1"/>
      </w:tblPr>
      <w:tblGrid>
        <w:gridCol w:w="794"/>
        <w:gridCol w:w="8781"/>
      </w:tblGrid>
      <w:tr>
        <w:trPr/>
        <w:tc>
          <w:tcPr>
            <w:tcBorders/>
            <w:tcW w:w="794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п/п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Borders/>
            <w:tcW w:w="8781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94" w:type="dxa"/>
            <w:textDirection w:val="lrTb"/>
            <w:noWrap w:val="false"/>
          </w:tcPr>
          <w:p>
            <w:pPr>
              <w:pStyle w:val="946"/>
              <w:numPr>
                <w:ilvl w:val="0"/>
                <w:numId w:val="6"/>
              </w:numPr>
              <w:pBdr/>
              <w:spacing w:line="360" w:lineRule="auto"/>
              <w:ind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tcBorders/>
            <w:tcW w:w="8781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Диапазон регулировки внутренней окружности шлема: 530 до 640 ± 10% мм (без дополнительной затылочной подушки);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tcBorders/>
            <w:tcW w:w="794" w:type="dxa"/>
            <w:textDirection w:val="lrTb"/>
            <w:noWrap w:val="false"/>
          </w:tcPr>
          <w:p>
            <w:pPr>
              <w:pStyle w:val="946"/>
              <w:numPr>
                <w:ilvl w:val="0"/>
                <w:numId w:val="6"/>
              </w:numPr>
              <w:pBdr/>
              <w:spacing w:line="360" w:lineRule="auto"/>
              <w:ind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tcBorders/>
            <w:tcW w:w="8781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Количество каналов регистрации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нейросигнала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головного мозга:1;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tcBorders/>
            <w:tcW w:w="794" w:type="dxa"/>
            <w:textDirection w:val="lrTb"/>
            <w:noWrap w:val="false"/>
          </w:tcPr>
          <w:p>
            <w:pPr>
              <w:pStyle w:val="946"/>
              <w:numPr>
                <w:ilvl w:val="0"/>
                <w:numId w:val="6"/>
              </w:numPr>
              <w:pBdr/>
              <w:spacing w:line="360" w:lineRule="auto"/>
              <w:ind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tcBorders/>
            <w:tcW w:w="8781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Уровень собственных шумов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нейросигнала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: не более 5 мкВ;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tcBorders/>
            <w:tcW w:w="794" w:type="dxa"/>
            <w:textDirection w:val="lrTb"/>
            <w:noWrap w:val="false"/>
          </w:tcPr>
          <w:p>
            <w:pPr>
              <w:pStyle w:val="946"/>
              <w:numPr>
                <w:ilvl w:val="0"/>
                <w:numId w:val="6"/>
              </w:numPr>
              <w:pBdr/>
              <w:spacing w:line="360" w:lineRule="auto"/>
              <w:ind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tcBorders/>
            <w:tcW w:w="8781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Ток утечки на пациента: не более 0,5 мА.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tcBorders/>
            <w:tcW w:w="794" w:type="dxa"/>
            <w:textDirection w:val="lrTb"/>
            <w:noWrap w:val="false"/>
          </w:tcPr>
          <w:p>
            <w:pPr>
              <w:pStyle w:val="946"/>
              <w:numPr>
                <w:ilvl w:val="0"/>
                <w:numId w:val="6"/>
              </w:numPr>
              <w:pBdr/>
              <w:spacing w:line="360" w:lineRule="auto"/>
              <w:ind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tcBorders/>
            <w:tcW w:w="8781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Количество фото стимуляторов: 2;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tcBorders/>
            <w:tcW w:w="794" w:type="dxa"/>
            <w:textDirection w:val="lrTb"/>
            <w:noWrap w:val="false"/>
          </w:tcPr>
          <w:p>
            <w:pPr>
              <w:pStyle w:val="946"/>
              <w:numPr>
                <w:ilvl w:val="0"/>
                <w:numId w:val="6"/>
              </w:numPr>
              <w:pBdr/>
              <w:spacing w:line="360" w:lineRule="auto"/>
              <w:ind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tcBorders/>
            <w:tcW w:w="8781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Количество аудио стимуляторов: 2;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379"/>
        </w:trPr>
        <w:tc>
          <w:tcPr>
            <w:tcBorders/>
            <w:tcW w:w="794" w:type="dxa"/>
            <w:vMerge w:val="restart"/>
            <w:textDirection w:val="lrTb"/>
            <w:noWrap w:val="false"/>
          </w:tcPr>
          <w:p>
            <w:pPr>
              <w:pStyle w:val="946"/>
              <w:numPr>
                <w:ilvl w:val="0"/>
                <w:numId w:val="6"/>
              </w:numPr>
              <w:pBdr/>
              <w:spacing w:line="360" w:lineRule="auto"/>
              <w:ind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tcBorders/>
            <w:tcW w:w="8781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Максимальная громко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сть звука аудио стимулятора: должна быть 60 ± 10% дБ;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379"/>
        </w:trPr>
        <w:tc>
          <w:tcPr>
            <w:tcBorders/>
            <w:tcW w:w="794" w:type="dxa"/>
            <w:vMerge w:val="restart"/>
            <w:textDirection w:val="lrTb"/>
            <w:noWrap w:val="false"/>
          </w:tcPr>
          <w:p>
            <w:pPr>
              <w:pStyle w:val="946"/>
              <w:numPr>
                <w:ilvl w:val="0"/>
                <w:numId w:val="6"/>
              </w:numPr>
              <w:pBdr/>
              <w:spacing w:line="360" w:lineRule="auto"/>
              <w:ind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tcBorders/>
            <w:tcW w:w="8781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Максимальная яркость поля фото стимуляции: 28 ± 5 кд/м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vertAlign w:val="superscript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;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379"/>
        </w:trPr>
        <w:tc>
          <w:tcPr>
            <w:tcBorders/>
            <w:tcW w:w="794" w:type="dxa"/>
            <w:vMerge w:val="restart"/>
            <w:textDirection w:val="lrTb"/>
            <w:noWrap w:val="false"/>
          </w:tcPr>
          <w:p>
            <w:pPr>
              <w:pStyle w:val="946"/>
              <w:numPr>
                <w:ilvl w:val="0"/>
                <w:numId w:val="6"/>
              </w:numPr>
              <w:pBdr/>
              <w:spacing w:line="360" w:lineRule="auto"/>
              <w:ind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tcBorders/>
            <w:tcW w:w="8781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Изменение частоты фото стимуляции: 0,1 до 25,0 ± 10% Гц;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379"/>
        </w:trPr>
        <w:tc>
          <w:tcPr>
            <w:tcBorders/>
            <w:tcW w:w="794" w:type="dxa"/>
            <w:vMerge w:val="restart"/>
            <w:textDirection w:val="lrTb"/>
            <w:noWrap w:val="false"/>
          </w:tcPr>
          <w:p>
            <w:pPr>
              <w:pStyle w:val="946"/>
              <w:numPr>
                <w:ilvl w:val="0"/>
                <w:numId w:val="6"/>
              </w:numPr>
              <w:pBdr/>
              <w:spacing w:line="360" w:lineRule="auto"/>
              <w:ind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tcBorders/>
            <w:tcW w:w="8781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Время работы от полностью заряженной аккумуляторной батареи: не менее 4 часов;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379"/>
        </w:trPr>
        <w:tc>
          <w:tcPr>
            <w:tcBorders/>
            <w:tcW w:w="794" w:type="dxa"/>
            <w:vMerge w:val="restart"/>
            <w:textDirection w:val="lrTb"/>
            <w:noWrap w:val="false"/>
          </w:tcPr>
          <w:p>
            <w:pPr>
              <w:pStyle w:val="946"/>
              <w:numPr>
                <w:ilvl w:val="0"/>
                <w:numId w:val="6"/>
              </w:numPr>
              <w:pBdr/>
              <w:spacing w:line="360" w:lineRule="auto"/>
              <w:ind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tcBorders/>
            <w:tcW w:w="8781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Время необходимое для полного заряда аккумуляторной батареи: не более 4 часов;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379"/>
        </w:trPr>
        <w:tc>
          <w:tcPr>
            <w:tcBorders/>
            <w:tcW w:w="794" w:type="dxa"/>
            <w:vMerge w:val="restart"/>
            <w:textDirection w:val="lrTb"/>
            <w:noWrap w:val="false"/>
          </w:tcPr>
          <w:p>
            <w:pPr>
              <w:pStyle w:val="946"/>
              <w:numPr>
                <w:ilvl w:val="0"/>
                <w:numId w:val="6"/>
              </w:numPr>
              <w:pBdr/>
              <w:spacing w:line="360" w:lineRule="auto"/>
              <w:ind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tcBorders/>
            <w:tcW w:w="8781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Комплекс при проводном соединении предназначен для продолжительного режима работы. Требования к параметрам питающей цепи: постоянный ток (USB) напряжение 5В +/- 10%, ток, не б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олее 0,5 А.;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379"/>
        </w:trPr>
        <w:tc>
          <w:tcPr>
            <w:tcBorders/>
            <w:tcW w:w="794" w:type="dxa"/>
            <w:vMerge w:val="restart"/>
            <w:textDirection w:val="lrTb"/>
            <w:noWrap w:val="false"/>
          </w:tcPr>
          <w:p>
            <w:pPr>
              <w:pStyle w:val="946"/>
              <w:numPr>
                <w:ilvl w:val="0"/>
                <w:numId w:val="6"/>
              </w:numPr>
              <w:pBdr/>
              <w:spacing w:line="360" w:lineRule="auto"/>
              <w:ind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tcBorders/>
            <w:tcW w:w="8781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Время установления рабочего режима комплекса после включения не более 2 мин. с учетом подключения аппаратной части комплекса к программному обеспечению, без учета времени загрузки программного обеспечения;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379"/>
        </w:trPr>
        <w:tc>
          <w:tcPr>
            <w:tcBorders/>
            <w:tcW w:w="794" w:type="dxa"/>
            <w:vMerge w:val="restart"/>
            <w:textDirection w:val="lrTb"/>
            <w:noWrap w:val="false"/>
          </w:tcPr>
          <w:p>
            <w:pPr>
              <w:pStyle w:val="946"/>
              <w:numPr>
                <w:ilvl w:val="0"/>
                <w:numId w:val="6"/>
              </w:numPr>
              <w:pBdr/>
              <w:spacing w:line="360" w:lineRule="auto"/>
              <w:ind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tcBorders/>
            <w:tcW w:w="8781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Диапазон регулировки внутренней окружности шлема: 530 до 640 ± 10% мм (без дополнительной затылочной подушки);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379"/>
        </w:trPr>
        <w:tc>
          <w:tcPr>
            <w:tcBorders/>
            <w:tcW w:w="794" w:type="dxa"/>
            <w:vMerge w:val="restart"/>
            <w:textDirection w:val="lrTb"/>
            <w:noWrap w:val="false"/>
          </w:tcPr>
          <w:p>
            <w:pPr>
              <w:pStyle w:val="946"/>
              <w:numPr>
                <w:ilvl w:val="0"/>
                <w:numId w:val="6"/>
              </w:numPr>
              <w:pBdr/>
              <w:spacing w:line="360" w:lineRule="auto"/>
              <w:ind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tcBorders/>
            <w:tcW w:w="8781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Количество каналов регистрации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нейросигнала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головного мозга:1;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379"/>
        </w:trPr>
        <w:tc>
          <w:tcPr>
            <w:tcBorders/>
            <w:tcW w:w="794" w:type="dxa"/>
            <w:vMerge w:val="restart"/>
            <w:textDirection w:val="lrTb"/>
            <w:noWrap w:val="false"/>
          </w:tcPr>
          <w:p>
            <w:pPr>
              <w:pStyle w:val="946"/>
              <w:numPr>
                <w:ilvl w:val="0"/>
                <w:numId w:val="6"/>
              </w:numPr>
              <w:pBdr/>
              <w:spacing w:line="360" w:lineRule="auto"/>
              <w:ind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tcBorders/>
            <w:tcW w:w="8781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Уровень собственных шумов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нейросигнала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: не более 5 мкВ;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379"/>
        </w:trPr>
        <w:tc>
          <w:tcPr>
            <w:tcBorders/>
            <w:tcW w:w="794" w:type="dxa"/>
            <w:vMerge w:val="restart"/>
            <w:textDirection w:val="lrTb"/>
            <w:noWrap w:val="false"/>
          </w:tcPr>
          <w:p>
            <w:pPr>
              <w:pStyle w:val="946"/>
              <w:numPr>
                <w:ilvl w:val="0"/>
                <w:numId w:val="6"/>
              </w:numPr>
              <w:pBdr/>
              <w:spacing w:line="360" w:lineRule="auto"/>
              <w:ind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tcBorders/>
            <w:tcW w:w="8781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Ток утечки на пациен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та: не более 0,5 мА.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</w:tbl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/>
        <w:contextualSpacing w:val="true"/>
        <w:jc w:val="both"/>
        <w:rPr/>
      </w:pPr>
      <w:r/>
      <w:r/>
    </w:p>
    <w:tbl>
      <w:tblPr>
        <w:tblStyle w:val="801"/>
        <w:tblW w:w="0" w:type="auto"/>
        <w:tblBorders/>
        <w:tblLook w:val="04A0" w:firstRow="1" w:lastRow="0" w:firstColumn="1" w:lastColumn="0" w:noHBand="0" w:noVBand="1"/>
      </w:tblPr>
      <w:tblGrid>
        <w:gridCol w:w="9026"/>
      </w:tblGrid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575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center"/>
              <w:rPr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731510" cy="3447366"/>
                      <wp:effectExtent l="0" t="0" r="0" b="0"/>
                      <wp:docPr id="9" name="Рисунок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73533666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31509" cy="34473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8" o:spid="_x0000_s8" type="#_x0000_t75" style="width:451.30pt;height:271.45pt;mso-wrap-distance-left:0.00pt;mso-wrap-distance-top:0.00pt;mso-wrap-distance-right:0.00pt;mso-wrap-distance-bottom:0.00pt;z-index:1;" stroked="false">
                      <v:imagedata r:id="rId24" o:title=""/>
                      <o:lock v:ext="edit" rotation="t"/>
                    </v:shape>
                  </w:pict>
                </mc:Fallback>
              </mc:AlternateContent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575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Рисунок 6 -  Внешний вид комплекса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НейроОптима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pBdr/>
        <w:spacing w:line="360" w:lineRule="auto"/>
        <w:ind/>
        <w:contextualSpacing w:val="true"/>
        <w:jc w:val="both"/>
        <w:rPr/>
      </w:pPr>
      <w:r/>
      <w:r/>
    </w:p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Данный комплекс позволяет реализовывать различные протоколы </w:t>
      </w:r>
      <w:r>
        <w:rPr>
          <w:rFonts w:ascii="Times New Roman" w:hAnsi="Times New Roman" w:cs="Times New Roman"/>
          <w:sz w:val="24"/>
          <w:szCs w:val="24"/>
        </w:rPr>
        <w:t xml:space="preserve">нейробиуправления</w:t>
      </w:r>
      <w:r>
        <w:rPr>
          <w:rFonts w:ascii="Times New Roman" w:hAnsi="Times New Roman" w:cs="Times New Roman"/>
          <w:sz w:val="24"/>
          <w:szCs w:val="24"/>
        </w:rPr>
        <w:t xml:space="preserve">, а также экспортировать данные для дополнительного анализа в стандартном формате EDF+.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Методика</w:t>
      </w:r>
      <w:r>
        <w:rPr>
          <w:rFonts w:ascii="Times New Roman" w:hAnsi="Times New Roman" w:cs="Times New Roman"/>
          <w:sz w:val="24"/>
          <w:szCs w:val="24"/>
        </w:rPr>
        <w:t xml:space="preserve">. В качестве обследуемых выступила группа добровольцев (16 человек, 29-50 лет, 10 женщин и 6 мужчин) из числа сотрудников ГК </w:t>
      </w:r>
      <w:r>
        <w:rPr>
          <w:rFonts w:ascii="Times New Roman" w:hAnsi="Times New Roman" w:cs="Times New Roman"/>
          <w:sz w:val="24"/>
          <w:szCs w:val="24"/>
        </w:rPr>
        <w:t xml:space="preserve">Мадин</w:t>
      </w:r>
      <w:r>
        <w:rPr>
          <w:rFonts w:ascii="Times New Roman" w:hAnsi="Times New Roman" w:cs="Times New Roman"/>
          <w:sz w:val="24"/>
          <w:szCs w:val="24"/>
        </w:rPr>
        <w:t xml:space="preserve">, не имевших установленных противопоказаний к применению коррекционных процедур с помощью комплекса “</w:t>
      </w:r>
      <w:r>
        <w:rPr>
          <w:rFonts w:ascii="Times New Roman" w:hAnsi="Times New Roman" w:cs="Times New Roman"/>
          <w:sz w:val="24"/>
          <w:szCs w:val="24"/>
        </w:rPr>
        <w:t xml:space="preserve">Нейрооптима</w:t>
      </w:r>
      <w:r>
        <w:rPr>
          <w:rFonts w:ascii="Times New Roman" w:hAnsi="Times New Roman" w:cs="Times New Roman"/>
          <w:sz w:val="24"/>
          <w:szCs w:val="24"/>
        </w:rPr>
        <w:t xml:space="preserve">”.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временно</w:t>
      </w:r>
      <w:r>
        <w:rPr>
          <w:rFonts w:ascii="Times New Roman" w:hAnsi="Times New Roman" w:cs="Times New Roman"/>
          <w:sz w:val="24"/>
          <w:szCs w:val="24"/>
        </w:rPr>
        <w:t xml:space="preserve">м промежутке 13:00-16:00 каждый из </w:t>
      </w:r>
      <w:r>
        <w:rPr>
          <w:rFonts w:ascii="Times New Roman" w:hAnsi="Times New Roman" w:cs="Times New Roman"/>
          <w:sz w:val="24"/>
          <w:szCs w:val="24"/>
        </w:rPr>
        <w:t xml:space="preserve">обследумых</w:t>
      </w:r>
      <w:r>
        <w:rPr>
          <w:rFonts w:ascii="Times New Roman" w:hAnsi="Times New Roman" w:cs="Times New Roman"/>
          <w:sz w:val="24"/>
          <w:szCs w:val="24"/>
        </w:rPr>
        <w:t xml:space="preserve"> проходил процедуру по протоколу “Динамическая </w:t>
      </w:r>
      <w:r>
        <w:rPr>
          <w:rFonts w:ascii="Times New Roman" w:hAnsi="Times New Roman" w:cs="Times New Roman"/>
          <w:sz w:val="24"/>
          <w:szCs w:val="24"/>
        </w:rPr>
        <w:t xml:space="preserve">нейромодуляция</w:t>
      </w:r>
      <w:r>
        <w:rPr>
          <w:rFonts w:ascii="Times New Roman" w:hAnsi="Times New Roman" w:cs="Times New Roman"/>
          <w:sz w:val="24"/>
          <w:szCs w:val="24"/>
        </w:rPr>
        <w:t xml:space="preserve">”, длительностью 9 мин. По окончанию </w:t>
      </w:r>
      <w:r>
        <w:rPr>
          <w:rFonts w:ascii="Times New Roman" w:hAnsi="Times New Roman" w:cs="Times New Roman"/>
          <w:sz w:val="24"/>
          <w:szCs w:val="24"/>
        </w:rPr>
        <w:t xml:space="preserve">процедуры  полученные</w:t>
      </w:r>
      <w:r>
        <w:rPr>
          <w:rFonts w:ascii="Times New Roman" w:hAnsi="Times New Roman" w:cs="Times New Roman"/>
          <w:sz w:val="24"/>
          <w:szCs w:val="24"/>
        </w:rPr>
        <w:t xml:space="preserve"> данные </w:t>
      </w:r>
      <w:r>
        <w:rPr>
          <w:rFonts w:ascii="Times New Roman" w:hAnsi="Times New Roman" w:cs="Times New Roman"/>
          <w:sz w:val="24"/>
          <w:szCs w:val="24"/>
        </w:rPr>
        <w:t xml:space="preserve">эспортировались</w:t>
      </w:r>
      <w:r>
        <w:rPr>
          <w:rFonts w:ascii="Times New Roman" w:hAnsi="Times New Roman" w:cs="Times New Roman"/>
          <w:sz w:val="24"/>
          <w:szCs w:val="24"/>
        </w:rPr>
        <w:t xml:space="preserve"> из программного обеспечения и анализировались экспертом, с опытом пр</w:t>
      </w:r>
      <w:r>
        <w:rPr>
          <w:rFonts w:ascii="Times New Roman" w:hAnsi="Times New Roman" w:cs="Times New Roman"/>
          <w:sz w:val="24"/>
          <w:szCs w:val="24"/>
        </w:rPr>
        <w:t xml:space="preserve">оведения процедур </w:t>
      </w:r>
      <w:r>
        <w:rPr>
          <w:rFonts w:ascii="Times New Roman" w:hAnsi="Times New Roman" w:cs="Times New Roman"/>
          <w:sz w:val="24"/>
          <w:szCs w:val="24"/>
        </w:rPr>
        <w:t xml:space="preserve">нейробиоуправления</w:t>
      </w:r>
      <w:r>
        <w:rPr>
          <w:rFonts w:ascii="Times New Roman" w:hAnsi="Times New Roman" w:cs="Times New Roman"/>
          <w:sz w:val="24"/>
          <w:szCs w:val="24"/>
        </w:rPr>
        <w:t xml:space="preserve">. Далее данные эксперта сопоставлялись с результатом автоматического анализа.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Всего было получено 20 записей. Результаты оценки записей представлены в таблице 3.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 w:firstLine="720"/>
        <w:contextualSpacing w:val="true"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Таблица 3 - Результаты исследования. </w:t>
      </w:r>
      <w:r/>
    </w:p>
    <w:tbl>
      <w:tblPr>
        <w:tblStyle w:val="801"/>
        <w:tblW w:w="0" w:type="auto"/>
        <w:tblBorders/>
        <w:tblLayout w:type="fixed"/>
        <w:tblLook w:val="04A0" w:firstRow="1" w:lastRow="0" w:firstColumn="1" w:lastColumn="0" w:noHBand="0" w:noVBand="1"/>
      </w:tblPr>
      <w:tblGrid>
        <w:gridCol w:w="567"/>
        <w:gridCol w:w="676"/>
        <w:gridCol w:w="533"/>
        <w:gridCol w:w="533"/>
        <w:gridCol w:w="710"/>
        <w:gridCol w:w="710"/>
        <w:gridCol w:w="888"/>
        <w:gridCol w:w="770"/>
        <w:gridCol w:w="709"/>
        <w:gridCol w:w="1717"/>
        <w:gridCol w:w="1775"/>
      </w:tblGrid>
      <w:tr>
        <w:trPr>
          <w:trHeight w:val="544"/>
        </w:trPr>
        <w:tc>
          <w:tcPr>
            <w:tcBorders/>
            <w:tcW w:w="567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  <w:tc>
          <w:tcPr>
            <w:gridSpan w:val="3"/>
            <w:tcBorders/>
            <w:tcW w:w="1741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До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3"/>
            <w:tcBorders/>
            <w:tcW w:w="2308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Стимуляция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2"/>
            <w:tcBorders/>
            <w:tcW w:w="1479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Пос</w:t>
            </w:r>
            <w:r>
              <w:rPr>
                <w:rFonts w:ascii="Times New Roman" w:hAnsi="Times New Roman" w:eastAsia="Times New Roman" w:cs="Times New Roman"/>
              </w:rPr>
              <w:t xml:space="preserve">ле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/>
            <w:tcW w:w="1717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Оценка по алгоритму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/>
            <w:tcW w:w="1775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Оценка эксперта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2116"/>
        </w:trPr>
        <w:tc>
          <w:tcPr>
            <w:tcBorders/>
            <w:tcW w:w="56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№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/>
            <w:tcW w:w="676" w:type="dxa"/>
            <w:vAlign w:val="center"/>
            <w:textDirection w:val="btLr"/>
            <w:noWrap w:val="false"/>
          </w:tcPr>
          <w:p>
            <w:pPr>
              <w:pBdr/>
              <w:spacing/>
              <w:ind w:right="113" w:lef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 </w:t>
            </w:r>
            <m:oMath>
              <m:r>
                <w:rPr>
                  <w:rFonts w:ascii="Cambria Math" w:hAnsi="Cambria Math" w:eastAsia="Cambria Math" w:cs="Cambria Math"/>
                </w:rPr>
                <m:rPr/>
                <m:t>α</m:t>
              </m:r>
              <m:r>
                <w:rPr>
                  <w:rFonts w:ascii="Cambria Math" w:hAnsi="Cambria Math" w:eastAsia="Cambria Math" w:cs="Cambria Math"/>
                </w:rPr>
                <m:rPr/>
                <m:t>/</m:t>
              </m:r>
              <m:r>
                <w:rPr>
                  <w:rFonts w:ascii="Cambria Math" w:hAnsi="Cambria Math" w:eastAsia="Cambria Math" w:cs="Cambria Math"/>
                </w:rPr>
                <m:rPr/>
                <m:t>θ</m:t>
              </m:r>
            </m:oMath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/>
            <w:tcW w:w="533" w:type="dxa"/>
            <w:vAlign w:val="center"/>
            <w:textDirection w:val="btLr"/>
            <w:noWrap w:val="false"/>
          </w:tcPr>
          <w:p>
            <w:pPr>
              <w:pBdr/>
              <w:spacing/>
              <w:ind w:right="113" w:lef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Доминиров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/>
            <w:tcW w:w="533" w:type="dxa"/>
            <w:vAlign w:val="center"/>
            <w:textDirection w:val="btLr"/>
            <w:noWrap w:val="false"/>
          </w:tcPr>
          <w:p>
            <w:pPr>
              <w:pBdr/>
              <w:spacing/>
              <w:ind w:right="113" w:lef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Fp</w:t>
            </w:r>
            <w:r>
              <w:rPr>
                <w:rFonts w:ascii="Times New Roman" w:hAnsi="Times New Roman" w:eastAsia="Times New Roman" w:cs="Times New Roman"/>
              </w:rPr>
              <w:t xml:space="preserve">, Гц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/>
            <w:tcW w:w="710" w:type="dxa"/>
            <w:vAlign w:val="center"/>
            <w:textDirection w:val="btLr"/>
            <w:noWrap w:val="false"/>
          </w:tcPr>
          <w:p>
            <w:pPr>
              <w:pBdr/>
              <w:spacing/>
              <w:ind w:right="113" w:lef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Устойчивость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/>
            <w:tcW w:w="710" w:type="dxa"/>
            <w:vAlign w:val="center"/>
            <w:textDirection w:val="btLr"/>
            <w:noWrap w:val="false"/>
          </w:tcPr>
          <w:p>
            <w:pPr>
              <w:pBdr/>
              <w:spacing/>
              <w:ind w:right="113" w:lef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Усвоение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/>
            <w:tcW w:w="888" w:type="dxa"/>
            <w:vAlign w:val="center"/>
            <w:textDirection w:val="btLr"/>
            <w:noWrap w:val="false"/>
          </w:tcPr>
          <w:p>
            <w:pPr>
              <w:pBdr/>
              <w:spacing/>
              <w:ind w:right="113" w:lef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Мультипликация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/>
            <w:tcW w:w="770" w:type="dxa"/>
            <w:vAlign w:val="center"/>
            <w:textDirection w:val="btLr"/>
            <w:noWrap w:val="false"/>
          </w:tcPr>
          <w:p>
            <w:pPr>
              <w:pBdr/>
              <w:spacing/>
              <w:ind w:right="113" w:lef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Δ </w:t>
            </w:r>
            <m:oMath>
              <m:r>
                <w:rPr>
                  <w:rFonts w:ascii="Cambria Math" w:hAnsi="Cambria Math" w:eastAsia="Cambria Math" w:cs="Cambria Math"/>
                </w:rPr>
                <m:rPr/>
                <m:t>α</m:t>
              </m:r>
              <m:r>
                <w:rPr>
                  <w:rFonts w:ascii="Cambria Math" w:hAnsi="Cambria Math" w:eastAsia="Cambria Math" w:cs="Cambria Math"/>
                </w:rPr>
                <m:rPr/>
                <m:t>/</m:t>
              </m:r>
              <m:r>
                <w:rPr>
                  <w:rFonts w:ascii="Cambria Math" w:hAnsi="Cambria Math" w:eastAsia="Cambria Math" w:cs="Cambria Math"/>
                </w:rPr>
                <m:rPr/>
                <m:t>θ</m:t>
              </m:r>
            </m:oMath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/>
            <w:tcW w:w="709" w:type="dxa"/>
            <w:vAlign w:val="center"/>
            <w:textDirection w:val="btLr"/>
            <w:noWrap w:val="false"/>
          </w:tcPr>
          <w:p>
            <w:pPr>
              <w:pBdr/>
              <w:spacing/>
              <w:ind w:right="113" w:lef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Δ </w:t>
            </w:r>
            <w:r>
              <w:rPr>
                <w:rFonts w:ascii="Times New Roman" w:hAnsi="Times New Roman" w:eastAsia="Times New Roman" w:cs="Times New Roman"/>
              </w:rPr>
              <w:t xml:space="preserve">Fp</w:t>
            </w:r>
            <w:r>
              <w:rPr>
                <w:rFonts w:ascii="Times New Roman" w:hAnsi="Times New Roman" w:eastAsia="Times New Roman" w:cs="Times New Roman"/>
              </w:rPr>
              <w:t xml:space="preserve">, Гц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Bdr/>
              <w:spacing/>
              <w:ind w:right="113" w:lef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/>
            <w:tcW w:w="1717" w:type="dxa"/>
            <w:vMerge w:val="continue"/>
            <w:textDirection w:val="btLr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  <w:tc>
          <w:tcPr>
            <w:tcBorders/>
            <w:tcW w:w="1775" w:type="dxa"/>
            <w:vMerge w:val="continue"/>
            <w:textDirection w:val="btLr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>
          <w:trHeight w:val="506"/>
        </w:trPr>
        <w:tc>
          <w:tcPr>
            <w:tcBorders/>
            <w:tcW w:w="56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1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/>
            <w:tcW w:w="67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1,4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53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53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9,7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1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1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88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7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-0,1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09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0,2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171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1775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Эталон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324"/>
        </w:trPr>
        <w:tc>
          <w:tcPr>
            <w:tcBorders/>
            <w:tcW w:w="56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2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/>
            <w:tcW w:w="67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1,5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53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53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11,0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1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1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88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7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-0,05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09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0,3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171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1775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Эталон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331"/>
        </w:trPr>
        <w:tc>
          <w:tcPr>
            <w:tcBorders/>
            <w:tcW w:w="56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3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/>
            <w:tcW w:w="67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1,8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53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53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9,7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1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1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88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7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+0,12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09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0,9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171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1775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Слабая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331"/>
        </w:trPr>
        <w:tc>
          <w:tcPr>
            <w:tcBorders/>
            <w:tcW w:w="56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4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/>
            <w:tcW w:w="67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1,2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53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53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11,1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1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1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88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7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+0,10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09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0,3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171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1775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Слабая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331"/>
        </w:trPr>
        <w:tc>
          <w:tcPr>
            <w:tcBorders/>
            <w:tcW w:w="56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5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/>
            <w:tcW w:w="67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0,98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53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-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53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8,6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1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1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88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-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7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+0,7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09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1,0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171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1775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Умеренная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331"/>
        </w:trPr>
        <w:tc>
          <w:tcPr>
            <w:tcBorders/>
            <w:tcW w:w="56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6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/>
            <w:tcW w:w="67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1,25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53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53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9,3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1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-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1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88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7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+0,9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09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0,8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171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1775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Слабая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331"/>
        </w:trPr>
        <w:tc>
          <w:tcPr>
            <w:tcBorders/>
            <w:tcW w:w="56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7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/>
            <w:tcW w:w="67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1,19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53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53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9,4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1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-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1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88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7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+0,3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09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0,5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171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1775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Слабая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331"/>
        </w:trPr>
        <w:tc>
          <w:tcPr>
            <w:tcBorders/>
            <w:tcW w:w="567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8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/>
            <w:tcW w:w="676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1,10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533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533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10,1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1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-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1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88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-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7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+1,1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09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0,5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171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1775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Умеренная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331"/>
        </w:trPr>
        <w:tc>
          <w:tcPr>
            <w:tcBorders/>
            <w:tcW w:w="567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9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/>
            <w:tcW w:w="676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1,15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533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-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533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9,0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1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-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1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88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7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+0.3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09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1,2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171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1775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Умеренная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331"/>
        </w:trPr>
        <w:tc>
          <w:tcPr>
            <w:tcBorders/>
            <w:tcW w:w="567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10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/>
            <w:tcW w:w="676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1,7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533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533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8,9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1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1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-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88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-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7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+0,5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09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0,3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171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1775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Умеренная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331"/>
        </w:trPr>
        <w:tc>
          <w:tcPr>
            <w:tcBorders/>
            <w:tcW w:w="567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11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/>
            <w:tcW w:w="676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2,12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533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533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10,1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1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1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88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7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-0,1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09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-0,3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171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1775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Слабая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331"/>
        </w:trPr>
        <w:tc>
          <w:tcPr>
            <w:tcBorders/>
            <w:tcW w:w="567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12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/>
            <w:tcW w:w="676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2,34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533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533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12,1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1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1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88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7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+0,6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09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0,9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171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1775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Слабая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331"/>
        </w:trPr>
        <w:tc>
          <w:tcPr>
            <w:tcBorders/>
            <w:tcW w:w="567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13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/>
            <w:tcW w:w="676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0,77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533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-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533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8,2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1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-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1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-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88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-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7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-0.1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09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-0,1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171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1775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Глубокая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331"/>
        </w:trPr>
        <w:tc>
          <w:tcPr>
            <w:tcBorders/>
            <w:tcW w:w="567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14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/>
            <w:tcW w:w="676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1,6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533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533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10,3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1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1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88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7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-0,1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09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0,4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171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1775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Эталон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331"/>
        </w:trPr>
        <w:tc>
          <w:tcPr>
            <w:tcBorders/>
            <w:tcW w:w="567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15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/>
            <w:tcW w:w="676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0,68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533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-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533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-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1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-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1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88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-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7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+0,2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09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-0,3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171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1775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Глубокая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331"/>
        </w:trPr>
        <w:tc>
          <w:tcPr>
            <w:tcBorders/>
            <w:tcW w:w="567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16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/>
            <w:tcW w:w="676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2,2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533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533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11,0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1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-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1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88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7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+0,4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09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0,9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171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1775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Слабая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331"/>
        </w:trPr>
        <w:tc>
          <w:tcPr>
            <w:tcBorders/>
            <w:tcW w:w="567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17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/>
            <w:tcW w:w="676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1,0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533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-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533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8,6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1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-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1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88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-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7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+0,7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09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0,7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171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1775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Умеренная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331"/>
        </w:trPr>
        <w:tc>
          <w:tcPr>
            <w:tcBorders/>
            <w:tcW w:w="567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18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/>
            <w:tcW w:w="676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1,12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533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-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533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9,2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1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-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1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88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7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+0,9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09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1,5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171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1775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Умеренная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331"/>
        </w:trPr>
        <w:tc>
          <w:tcPr>
            <w:tcBorders/>
            <w:tcW w:w="567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19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/>
            <w:tcW w:w="676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0,89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533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-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533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9,7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1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-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1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88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-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7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+0,3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09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1,3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171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1775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Умеренная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331"/>
        </w:trPr>
        <w:tc>
          <w:tcPr>
            <w:tcBorders/>
            <w:tcW w:w="567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20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/>
            <w:tcW w:w="676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1,0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533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-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533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9,3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1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-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1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-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88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-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7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-0,1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709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-0,3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Borders/>
            <w:tcW w:w="171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1775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Глубокая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</w:tbl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основе сравнительного анализа результатов работы алгоритма и экспертной оценки зрелости ритмов головного мозга можно сделать несколько ключевых выводов.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первую очередь стоит отметить, что наблюдается согласованность между алгоритмическими и экспертны</w:t>
      </w:r>
      <w:r>
        <w:rPr>
          <w:rFonts w:ascii="Times New Roman" w:hAnsi="Times New Roman" w:cs="Times New Roman"/>
          <w:sz w:val="24"/>
          <w:szCs w:val="24"/>
        </w:rPr>
        <w:t xml:space="preserve">ми оценками, особенно в случае эталонной зрелости (3 записи) ритмов, где алгоритм присвоил записям 5 баллов (рис. 5).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Наибольшая сложно для классификации экспертом является в категориях слабой </w:t>
      </w:r>
      <w:r>
        <w:rPr>
          <w:rFonts w:ascii="Times New Roman" w:hAnsi="Times New Roman" w:cs="Times New Roman"/>
          <w:sz w:val="24"/>
          <w:szCs w:val="24"/>
        </w:rPr>
        <w:t xml:space="preserve">и  умеренной</w:t>
      </w:r>
      <w:r>
        <w:rPr>
          <w:rFonts w:ascii="Times New Roman" w:hAnsi="Times New Roman" w:cs="Times New Roman"/>
          <w:sz w:val="24"/>
          <w:szCs w:val="24"/>
        </w:rPr>
        <w:t xml:space="preserve"> регрессии (по 7 записей) (рис. 6,7).  Разработанн</w:t>
      </w:r>
      <w:r>
        <w:rPr>
          <w:rFonts w:ascii="Times New Roman" w:hAnsi="Times New Roman" w:cs="Times New Roman"/>
          <w:sz w:val="24"/>
          <w:szCs w:val="24"/>
        </w:rPr>
        <w:t xml:space="preserve">ый алгоритм оценивает слабую регрессию в 4 балла, умеренную в 3 балла.   В дальнейшем продвижении </w:t>
      </w:r>
      <w:r>
        <w:rPr>
          <w:rFonts w:ascii="Times New Roman" w:hAnsi="Times New Roman" w:cs="Times New Roman"/>
          <w:sz w:val="24"/>
          <w:szCs w:val="24"/>
        </w:rPr>
        <w:t xml:space="preserve">алгоритма важно учесть такие аспекты, улучшив его точность и специфичность в этих категориях.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Глубокая регрессия (рис.8) отмеченная экспертами на 3 записях получили от алгоритма оценку - 1 и 2 балла.  Чтобы улучшить точность распознавания глубокой регрессии, необходимо сосредоточиться на улучшении алгоритмов машинного обучения, включая расширение т</w:t>
      </w:r>
      <w:r>
        <w:rPr>
          <w:rFonts w:ascii="Times New Roman" w:hAnsi="Times New Roman" w:cs="Times New Roman"/>
          <w:sz w:val="24"/>
          <w:szCs w:val="24"/>
        </w:rPr>
        <w:t xml:space="preserve">ренировочных </w:t>
      </w:r>
      <w:r>
        <w:rPr>
          <w:rFonts w:ascii="Times New Roman" w:hAnsi="Times New Roman" w:cs="Times New Roman"/>
          <w:sz w:val="24"/>
          <w:szCs w:val="24"/>
        </w:rPr>
        <w:t xml:space="preserve">датасетов</w:t>
      </w:r>
      <w:r>
        <w:rPr>
          <w:rFonts w:ascii="Times New Roman" w:hAnsi="Times New Roman" w:cs="Times New Roman"/>
          <w:sz w:val="24"/>
          <w:szCs w:val="24"/>
        </w:rPr>
        <w:t xml:space="preserve"> с разнообразными паттернами глубоких регрессий.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801"/>
        <w:tblW w:w="0" w:type="auto"/>
        <w:tblBorders/>
        <w:tblLook w:val="04A0" w:firstRow="1" w:lastRow="0" w:firstColumn="1" w:lastColumn="0" w:noHBand="0" w:noVBand="1"/>
      </w:tblPr>
      <w:tblGrid>
        <w:gridCol w:w="9026"/>
      </w:tblGrid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575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731510" cy="2156466"/>
                      <wp:effectExtent l="0" t="0" r="0" b="0"/>
                      <wp:docPr id="10" name="Рисунок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17733615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31509" cy="215646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9" o:spid="_x0000_s9" type="#_x0000_t75" style="width:451.30pt;height:169.80pt;mso-wrap-distance-left:0.00pt;mso-wrap-distance-top:0.00pt;mso-wrap-distance-right:0.00pt;mso-wrap-distance-bottom:0.00pt;z-index:1;" stroked="false">
                      <v:imagedata r:id="rId25" o:title=""/>
                      <o:lock v:ext="edit" rotation="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575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Рисунок 7 -  Спектрограмма эталонной ритмики. Оценка по алгоритму = 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575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731510" cy="2156466"/>
                      <wp:effectExtent l="0" t="0" r="0" b="0"/>
                      <wp:docPr id="11" name="Рисунок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6713612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31509" cy="215646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" o:spid="_x0000_s10" type="#_x0000_t75" style="width:451.30pt;height:169.80pt;mso-wrap-distance-left:0.00pt;mso-wrap-distance-top:0.00pt;mso-wrap-distance-right:0.00pt;mso-wrap-distance-bottom:0.00pt;z-index:1;" stroked="false">
                      <v:imagedata r:id="rId26" o:title=""/>
                      <o:lock v:ext="edit" rotation="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575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Рисунок 8 -  Спектрограмма при слабой регрессии. Оценка по алгоритму = 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575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731510" cy="2205299"/>
                      <wp:effectExtent l="0" t="0" r="0" b="0"/>
                      <wp:docPr id="12" name="Рисунок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0400900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31509" cy="220529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1" o:spid="_x0000_s11" type="#_x0000_t75" style="width:451.30pt;height:173.65pt;mso-wrap-distance-left:0.00pt;mso-wrap-distance-top:0.00pt;mso-wrap-distance-right:0.00pt;mso-wrap-distance-bottom:0.00pt;z-index:1;" stroked="false">
                      <v:imagedata r:id="rId27" o:title=""/>
                      <o:lock v:ext="edit" rotation="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575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Рисунок 9 -  Спектрограмма при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умеренной регрессии. Оценка по алгоритму = 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575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731510" cy="2205299"/>
                      <wp:effectExtent l="0" t="0" r="0" b="0"/>
                      <wp:docPr id="13" name="Рисунок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34881374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31509" cy="220529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2" o:spid="_x0000_s12" type="#_x0000_t75" style="width:451.30pt;height:173.65pt;mso-wrap-distance-left:0.00pt;mso-wrap-distance-top:0.00pt;mso-wrap-distance-right:0.00pt;mso-wrap-distance-bottom:0.00pt;z-index:1;" stroked="false">
                      <v:imagedata r:id="rId28" o:title=""/>
                      <o:lock v:ext="edit" rotation="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575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Рисунок 10 -  Спектрограмма при глубокой регрессии. Оценка по алгоритму = 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67"/>
        <w:pBdr/>
        <w:spacing/>
        <w:ind/>
        <w:rPr>
          <w:rFonts w:ascii="Times New Roman" w:hAnsi="Times New Roman" w:cs="Times New Roman"/>
          <w:b/>
          <w:bCs/>
          <w:sz w:val="24"/>
          <w:szCs w:val="24"/>
        </w:rPr>
      </w:pPr>
      <w:r/>
      <w:bookmarkStart w:id="9" w:name="_Toc7"/>
      <w:r>
        <w:rPr>
          <w:rFonts w:ascii="Times New Roman" w:hAnsi="Times New Roman" w:cs="Times New Roman"/>
          <w:b/>
          <w:bCs/>
          <w:sz w:val="24"/>
          <w:szCs w:val="24"/>
        </w:rPr>
        <w:t xml:space="preserve">5. Описание программного обеспечения для оценки зрелости</w:t>
      </w:r>
      <w:bookmarkEnd w:id="9"/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Разработанное программное обеспечение представляет собой кроссплатформен</w:t>
      </w:r>
      <w:r>
        <w:rPr>
          <w:rFonts w:ascii="Times New Roman" w:hAnsi="Times New Roman" w:cs="Times New Roman"/>
          <w:sz w:val="24"/>
          <w:szCs w:val="24"/>
        </w:rPr>
        <w:t xml:space="preserve">ную систему для управления и анализа данных регистраций, обеспечивающую пользователям удобный интерфейс для работы с базой данных. Программа реализует процессы индексации, визуализации, анализа, редактирования и экспорта данных, а также поддерживает работу</w:t>
      </w:r>
      <w:r>
        <w:rPr>
          <w:rFonts w:ascii="Times New Roman" w:hAnsi="Times New Roman" w:cs="Times New Roman"/>
          <w:sz w:val="24"/>
          <w:szCs w:val="24"/>
        </w:rPr>
        <w:t xml:space="preserve"> с различными форматами файлов (CSV, EDF+, TXT). </w:t>
      </w:r>
      <w:r>
        <w:rPr>
          <w:rFonts w:ascii="Times New Roman" w:hAnsi="Times New Roman" w:cs="Times New Roman"/>
          <w:sz w:val="24"/>
          <w:szCs w:val="24"/>
        </w:rPr>
        <w:t xml:space="preserve"> Приложение имеет функцию кеширования исходных данных в собственном хранилище.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Программная платформа – </w:t>
      </w:r>
      <w:r>
        <w:rPr>
          <w:rFonts w:ascii="Times New Roman" w:hAnsi="Times New Roman" w:cs="Times New Roman"/>
          <w:sz w:val="24"/>
          <w:szCs w:val="24"/>
        </w:rPr>
        <w:t xml:space="preserve">Java</w:t>
      </w:r>
      <w:r>
        <w:rPr>
          <w:rFonts w:ascii="Times New Roman" w:hAnsi="Times New Roman" w:cs="Times New Roman"/>
          <w:sz w:val="24"/>
          <w:szCs w:val="24"/>
        </w:rPr>
        <w:t xml:space="preserve"> 17, язык программирования - </w:t>
      </w:r>
      <w:r>
        <w:rPr>
          <w:rFonts w:ascii="Times New Roman" w:hAnsi="Times New Roman" w:cs="Times New Roman"/>
          <w:sz w:val="24"/>
          <w:szCs w:val="24"/>
        </w:rPr>
        <w:t xml:space="preserve">Kotlin</w:t>
      </w:r>
      <w:r>
        <w:rPr>
          <w:rFonts w:ascii="Times New Roman" w:hAnsi="Times New Roman" w:cs="Times New Roman"/>
          <w:sz w:val="24"/>
          <w:szCs w:val="24"/>
        </w:rPr>
        <w:t xml:space="preserve">, тип ЭВМ – IBM совместимая, операционная система – </w:t>
      </w:r>
      <w:r>
        <w:rPr>
          <w:rFonts w:ascii="Times New Roman" w:hAnsi="Times New Roman" w:cs="Times New Roman"/>
          <w:sz w:val="24"/>
          <w:szCs w:val="24"/>
        </w:rPr>
        <w:t xml:space="preserve">Windows</w:t>
      </w:r>
      <w:r>
        <w:rPr>
          <w:rFonts w:ascii="Times New Roman" w:hAnsi="Times New Roman" w:cs="Times New Roman"/>
          <w:sz w:val="24"/>
          <w:szCs w:val="24"/>
        </w:rPr>
        <w:t xml:space="preserve"> (10/1</w:t>
      </w:r>
      <w:r>
        <w:rPr>
          <w:rFonts w:ascii="Times New Roman" w:hAnsi="Times New Roman" w:cs="Times New Roman"/>
          <w:sz w:val="24"/>
          <w:szCs w:val="24"/>
        </w:rPr>
        <w:t xml:space="preserve">1), </w:t>
      </w:r>
      <w:r>
        <w:rPr>
          <w:rFonts w:ascii="Times New Roman" w:hAnsi="Times New Roman" w:cs="Times New Roman"/>
          <w:sz w:val="24"/>
          <w:szCs w:val="24"/>
        </w:rPr>
        <w:t xml:space="preserve">Linux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MacOs</w:t>
      </w:r>
      <w:r>
        <w:rPr>
          <w:rFonts w:ascii="Times New Roman" w:hAnsi="Times New Roman" w:cs="Times New Roman"/>
          <w:sz w:val="24"/>
          <w:szCs w:val="24"/>
        </w:rPr>
        <w:t xml:space="preserve">. Общая структура меню представлена на рисунке 11.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801"/>
        <w:tblW w:w="0" w:type="auto"/>
        <w:tblBorders/>
        <w:tblLook w:val="04A0" w:firstRow="1" w:lastRow="0" w:firstColumn="1" w:lastColumn="0" w:noHBand="0" w:noVBand="1"/>
      </w:tblPr>
      <w:tblGrid>
        <w:gridCol w:w="9026"/>
      </w:tblGrid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575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eastAsia="ru-RU"/>
              </w:rPr>
            </w: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731510" cy="4277457"/>
                      <wp:effectExtent l="0" t="0" r="0" b="0"/>
                      <wp:docPr id="14" name="Рисунок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97109579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31508" cy="42774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3" o:spid="_x0000_s13" type="#_x0000_t75" style="width:451.30pt;height:336.81pt;mso-wrap-distance-left:0.00pt;mso-wrap-distance-top:0.00pt;mso-wrap-distance-right:0.00pt;mso-wrap-distance-bottom:0.00pt;z-index:1;" stroked="false">
                      <v:imagedata r:id="rId29" o:title=""/>
                      <o:lock v:ext="edit" rotation="t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575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Рисунок 11 - Структура меню программного обеспечения детектора зрелости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pBdr/>
        <w:spacing w:line="360" w:lineRule="auto"/>
        <w:ind w:firstLine="720"/>
        <w:contextualSpacing w:val="true"/>
        <w:jc w:val="both"/>
        <w:rPr/>
      </w:pPr>
      <w:r/>
      <w:r/>
    </w:p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Основные компоненты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 w:firstLine="720"/>
        <w:contextualSpacing w:val="true"/>
        <w:jc w:val="both"/>
        <w:rPr/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Загрузочный экран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При запуске отображается загрузочный экран, на котором выполняются следующие процессы:</w:t>
      </w:r>
      <w:r/>
    </w:p>
    <w:p>
      <w:pPr>
        <w:pStyle w:val="946"/>
        <w:numPr>
          <w:ilvl w:val="0"/>
          <w:numId w:val="9"/>
        </w:numPr>
        <w:pBdr/>
        <w:spacing w:line="360" w:lineRule="auto"/>
        <w:ind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индексация данных в базе данных: программа загружает </w:t>
      </w:r>
      <w:r>
        <w:rPr>
          <w:rFonts w:ascii="Times New Roman" w:hAnsi="Times New Roman" w:cs="Times New Roman"/>
          <w:sz w:val="24"/>
          <w:szCs w:val="24"/>
        </w:rPr>
        <w:t xml:space="preserve">документо</w:t>
      </w:r>
      <w:r>
        <w:rPr>
          <w:rFonts w:ascii="Times New Roman" w:hAnsi="Times New Roman" w:cs="Times New Roman"/>
          <w:sz w:val="24"/>
          <w:szCs w:val="24"/>
        </w:rPr>
        <w:t xml:space="preserve">-ориентированную базу данных, индексируя все доступные записи. Эта индексация позволяет ускорить последующи</w:t>
      </w:r>
      <w:r>
        <w:rPr>
          <w:rFonts w:ascii="Times New Roman" w:hAnsi="Times New Roman" w:cs="Times New Roman"/>
          <w:sz w:val="24"/>
          <w:szCs w:val="24"/>
        </w:rPr>
        <w:t xml:space="preserve">й доступ к данным во время сеанса работы.</w:t>
      </w:r>
      <w:r/>
    </w:p>
    <w:p>
      <w:pPr>
        <w:pStyle w:val="946"/>
        <w:numPr>
          <w:ilvl w:val="0"/>
          <w:numId w:val="9"/>
        </w:numPr>
        <w:pBdr/>
        <w:spacing w:line="360" w:lineRule="auto"/>
        <w:ind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индексация файлового хранилища: аналогичный процесс индексации происходит для внешних данных, загруженных в файловое хранилище. Это необходимо для обеспечения возможности быстрого поиска и извлечения данных из архи</w:t>
      </w:r>
      <w:r>
        <w:rPr>
          <w:rFonts w:ascii="Times New Roman" w:hAnsi="Times New Roman" w:cs="Times New Roman"/>
          <w:sz w:val="24"/>
          <w:szCs w:val="24"/>
        </w:rPr>
        <w:t xml:space="preserve">ва.</w:t>
      </w:r>
      <w:r/>
    </w:p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Меню базы данных. </w:t>
      </w:r>
      <w:r>
        <w:rPr>
          <w:rFonts w:ascii="Times New Roman" w:hAnsi="Times New Roman" w:cs="Times New Roman"/>
          <w:sz w:val="24"/>
          <w:szCs w:val="24"/>
        </w:rPr>
        <w:t xml:space="preserve">После завершения загрузки пользователь попадает в меню базы данных, где представлен список уже загруженных регистраций. В данном интерфейсе отображаются следующие параметры каждой записи:</w:t>
      </w:r>
      <w:r>
        <w:rPr>
          <w:rFonts w:ascii="Times New Roman" w:hAnsi="Times New Roman" w:cs="Times New Roman"/>
          <w:i/>
          <w:iCs/>
          <w:sz w:val="24"/>
          <w:szCs w:val="24"/>
        </w:rPr>
      </w:r>
      <w:r>
        <w:rPr>
          <w:rFonts w:ascii="Times New Roman" w:hAnsi="Times New Roman" w:cs="Times New Roman"/>
          <w:i/>
          <w:iCs/>
          <w:sz w:val="24"/>
          <w:szCs w:val="24"/>
        </w:rPr>
      </w:r>
    </w:p>
    <w:p>
      <w:pPr>
        <w:pStyle w:val="946"/>
        <w:numPr>
          <w:ilvl w:val="0"/>
          <w:numId w:val="8"/>
        </w:numPr>
        <w:pBdr/>
        <w:spacing w:line="360" w:lineRule="auto"/>
        <w:ind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идентификатор записи</w:t>
      </w:r>
      <w:r>
        <w:t xml:space="preserve">;</w:t>
      </w:r>
      <w:r/>
    </w:p>
    <w:p>
      <w:pPr>
        <w:pStyle w:val="946"/>
        <w:numPr>
          <w:ilvl w:val="0"/>
          <w:numId w:val="8"/>
        </w:numPr>
        <w:pBdr/>
        <w:spacing w:line="360" w:lineRule="auto"/>
        <w:ind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название файла;</w:t>
      </w:r>
      <w:r/>
    </w:p>
    <w:p>
      <w:pPr>
        <w:pStyle w:val="946"/>
        <w:numPr>
          <w:ilvl w:val="0"/>
          <w:numId w:val="8"/>
        </w:numPr>
        <w:pBdr/>
        <w:spacing w:line="360" w:lineRule="auto"/>
        <w:ind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формат файла</w:t>
      </w:r>
      <w:r>
        <w:t xml:space="preserve">;</w:t>
      </w:r>
      <w:r/>
    </w:p>
    <w:p>
      <w:pPr>
        <w:pStyle w:val="946"/>
        <w:numPr>
          <w:ilvl w:val="0"/>
          <w:numId w:val="8"/>
        </w:numPr>
        <w:pBdr/>
        <w:spacing w:line="360" w:lineRule="auto"/>
        <w:ind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дата добавления</w:t>
      </w:r>
      <w:r>
        <w:t xml:space="preserve">;</w:t>
      </w:r>
      <w:r/>
    </w:p>
    <w:p>
      <w:pPr>
        <w:pStyle w:val="946"/>
        <w:numPr>
          <w:ilvl w:val="0"/>
          <w:numId w:val="8"/>
        </w:numPr>
        <w:pBdr/>
        <w:spacing w:line="360" w:lineRule="auto"/>
        <w:ind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дата регистрации</w:t>
      </w:r>
      <w:r>
        <w:t xml:space="preserve">;</w:t>
      </w:r>
      <w:r/>
    </w:p>
    <w:p>
      <w:pPr>
        <w:pStyle w:val="946"/>
        <w:numPr>
          <w:ilvl w:val="0"/>
          <w:numId w:val="8"/>
        </w:numPr>
        <w:pBdr/>
        <w:spacing w:line="360" w:lineRule="auto"/>
        <w:ind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аннотация записи (например, краткое описание функциональной пробы)</w:t>
      </w:r>
      <w:r>
        <w:t xml:space="preserve">;</w:t>
      </w:r>
      <w:r/>
    </w:p>
    <w:p>
      <w:pPr>
        <w:pStyle w:val="946"/>
        <w:numPr>
          <w:ilvl w:val="0"/>
          <w:numId w:val="8"/>
        </w:numPr>
        <w:pBdr/>
        <w:spacing w:line="360" w:lineRule="auto"/>
        <w:ind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оценка зрелости данных</w:t>
      </w:r>
      <w:r>
        <w:t xml:space="preserve">.</w:t>
      </w:r>
      <w:r/>
    </w:p>
    <w:tbl>
      <w:tblPr>
        <w:tblStyle w:val="801"/>
        <w:tblW w:w="0" w:type="auto"/>
        <w:tblBorders/>
        <w:tblLook w:val="04A0" w:firstRow="1" w:lastRow="0" w:firstColumn="1" w:lastColumn="0" w:noHBand="0" w:noVBand="1"/>
      </w:tblPr>
      <w:tblGrid>
        <w:gridCol w:w="9026"/>
      </w:tblGrid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575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731510" cy="2988369"/>
                      <wp:effectExtent l="0" t="0" r="0" b="0"/>
                      <wp:docPr id="15" name="Рисунок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0366607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31509" cy="298836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4" o:spid="_x0000_s14" type="#_x0000_t75" style="width:451.30pt;height:235.30pt;mso-wrap-distance-left:0.00pt;mso-wrap-distance-top:0.00pt;mso-wrap-distance-right:0.00pt;mso-wrap-distance-bottom:0.00pt;z-index:1;" stroked="false">
                      <v:imagedata r:id="rId30" o:title=""/>
                      <o:lock v:ext="edit" rotation="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575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Рисунок 12 – Меню базы данных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pBdr/>
        <w:spacing w:line="360" w:lineRule="auto"/>
        <w:ind w:left="720"/>
        <w:contextualSpacing w:val="true"/>
        <w:jc w:val="both"/>
        <w:rPr/>
      </w:pPr>
      <w:r/>
      <w:r/>
    </w:p>
    <w:p>
      <w:pPr>
        <w:pBdr/>
        <w:spacing w:line="360" w:lineRule="auto"/>
        <w:ind w:firstLine="720"/>
        <w:contextualSpacing w:val="true"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Основные функции меню базы данных включают:</w:t>
      </w:r>
      <w:r/>
    </w:p>
    <w:p>
      <w:pPr>
        <w:pStyle w:val="946"/>
        <w:numPr>
          <w:ilvl w:val="0"/>
          <w:numId w:val="10"/>
        </w:numPr>
        <w:pBdr/>
        <w:spacing w:line="360" w:lineRule="auto"/>
        <w:ind w:hanging="11"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добавление и удаление записей: пользователь может добавлять новые файлы с регистрациями ЭЭГ или удалять существующие из базы.</w:t>
      </w:r>
      <w:r/>
    </w:p>
    <w:p>
      <w:pPr>
        <w:pStyle w:val="946"/>
        <w:numPr>
          <w:ilvl w:val="0"/>
          <w:numId w:val="10"/>
        </w:numPr>
        <w:pBdr/>
        <w:spacing w:line="360" w:lineRule="auto"/>
        <w:ind w:hanging="11"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обновление списка: служит для актуализации отображаемых данных.</w:t>
      </w:r>
      <w:r/>
    </w:p>
    <w:p>
      <w:pPr>
        <w:pStyle w:val="946"/>
        <w:numPr>
          <w:ilvl w:val="0"/>
          <w:numId w:val="10"/>
        </w:numPr>
        <w:pBdr/>
        <w:spacing w:line="360" w:lineRule="auto"/>
        <w:ind w:hanging="11"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навигационные кнопки "Файл", "Настройки", "О программе": предостав</w:t>
      </w:r>
      <w:r>
        <w:rPr>
          <w:rFonts w:ascii="Times New Roman" w:hAnsi="Times New Roman" w:cs="Times New Roman"/>
          <w:sz w:val="24"/>
          <w:szCs w:val="24"/>
        </w:rPr>
        <w:t xml:space="preserve">ляют доступ к расширенным настройкам системы, справочной информации и другим вспомогательным функциям.</w:t>
      </w:r>
      <w:r/>
    </w:p>
    <w:p>
      <w:pPr>
        <w:pBdr/>
        <w:spacing w:line="360" w:lineRule="auto"/>
        <w:ind w:firstLine="720"/>
        <w:contextualSpacing w:val="true"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Меню анализа</w:t>
      </w:r>
      <w: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Интерфейс анализа данных представлен в виде </w:t>
      </w:r>
      <w:r>
        <w:rPr>
          <w:rFonts w:ascii="Times New Roman" w:hAnsi="Times New Roman" w:cs="Times New Roman"/>
          <w:sz w:val="24"/>
          <w:szCs w:val="24"/>
        </w:rPr>
        <w:t xml:space="preserve">двух  колонок</w:t>
      </w:r>
      <w:r>
        <w:rPr>
          <w:rFonts w:ascii="Times New Roman" w:hAnsi="Times New Roman" w:cs="Times New Roman"/>
          <w:sz w:val="24"/>
          <w:szCs w:val="24"/>
        </w:rPr>
        <w:t xml:space="preserve">: слева отображается таблица этапов и рассчитанных параметров; справа – панель для</w:t>
      </w:r>
      <w:r>
        <w:rPr>
          <w:rFonts w:ascii="Times New Roman" w:hAnsi="Times New Roman" w:cs="Times New Roman"/>
          <w:sz w:val="24"/>
          <w:szCs w:val="24"/>
        </w:rPr>
        <w:t xml:space="preserve"> работы с графиком спектрограммы и визуализации стимулов (рис. 13)</w:t>
      </w:r>
      <w:r>
        <w:t xml:space="preserve">.</w:t>
      </w:r>
      <w:r/>
    </w:p>
    <w:tbl>
      <w:tblPr>
        <w:tblStyle w:val="801"/>
        <w:tblW w:w="0" w:type="auto"/>
        <w:tblBorders/>
        <w:tblLook w:val="04A0" w:firstRow="1" w:lastRow="0" w:firstColumn="1" w:lastColumn="0" w:noHBand="0" w:noVBand="1"/>
      </w:tblPr>
      <w:tblGrid>
        <w:gridCol w:w="9026"/>
      </w:tblGrid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575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</w:rPr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731510" cy="2853864"/>
                      <wp:effectExtent l="0" t="0" r="0" b="0"/>
                      <wp:docPr id="16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29848283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31509" cy="285386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5" o:spid="_x0000_s15" type="#_x0000_t75" style="width:451.30pt;height:224.71pt;mso-wrap-distance-left:0.00pt;mso-wrap-distance-top:0.00pt;mso-wrap-distance-right:0.00pt;mso-wrap-distance-bottom:0.00pt;z-index:1;" stroked="false">
                      <v:imagedata r:id="rId31" o:title=""/>
                      <o:lock v:ext="edit" rotation="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575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Рисунок 13 – Меню анализа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pBdr/>
        <w:spacing w:line="360" w:lineRule="auto"/>
        <w:ind w:firstLine="720"/>
        <w:contextualSpacing w:val="true"/>
        <w:jc w:val="both"/>
        <w:rPr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таблице с участками ЭЭГ данных и рассчитанными параметрами пользователь может просматривать результаты предварительного автоматического анализа данных,</w:t>
      </w:r>
      <w:r>
        <w:rPr>
          <w:rFonts w:ascii="Times New Roman" w:hAnsi="Times New Roman" w:cs="Times New Roman"/>
          <w:sz w:val="24"/>
          <w:szCs w:val="24"/>
        </w:rPr>
        <w:t xml:space="preserve"> включая параметры, рассчитанные для каждого участка.</w:t>
      </w:r>
      <w:r>
        <w:rPr>
          <w:rFonts w:ascii="Times New Roman" w:hAnsi="Times New Roman" w:cs="Times New Roman"/>
          <w:sz w:val="24"/>
          <w:szCs w:val="24"/>
        </w:rPr>
        <w:t xml:space="preserve"> График спектрограммы исходных данных отображает спектральный анализ с нанесением участков стимуляции, что позволяет визуально сопоставить изменения сигналов с различными стимулами.</w:t>
      </w:r>
      <w:r/>
    </w:p>
    <w:p>
      <w:pPr>
        <w:pBdr/>
        <w:spacing w:line="360" w:lineRule="auto"/>
        <w:ind w:right="0" w:firstLine="709" w:left="0"/>
        <w:contextualSpacing w:val="true"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В программе реализованы функции редактирования и экспорта данных:</w:t>
      </w:r>
      <w:r/>
    </w:p>
    <w:p>
      <w:pPr>
        <w:pStyle w:val="946"/>
        <w:numPr>
          <w:ilvl w:val="0"/>
          <w:numId w:val="11"/>
        </w:numPr>
        <w:pBdr/>
        <w:spacing w:line="360" w:lineRule="auto"/>
        <w:ind w:right="0" w:firstLine="709" w:left="0"/>
        <w:contextualSpacing w:val="true"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редактор разметки стимула: позволяет изменить или ввести вручную параметры функциональной пробы или выделить другие интересующие участки данных, что обеспечивает гибкость анализа.</w:t>
      </w:r>
      <w:r/>
    </w:p>
    <w:p>
      <w:pPr>
        <w:pStyle w:val="946"/>
        <w:numPr>
          <w:ilvl w:val="0"/>
          <w:numId w:val="11"/>
        </w:numPr>
        <w:pBdr/>
        <w:spacing w:line="360" w:lineRule="auto"/>
        <w:ind w:right="0" w:firstLine="709" w:left="0"/>
        <w:contextualSpacing w:val="true"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редактор в</w:t>
      </w:r>
      <w:r>
        <w:rPr>
          <w:rFonts w:ascii="Times New Roman" w:hAnsi="Times New Roman" w:cs="Times New Roman"/>
          <w:sz w:val="24"/>
          <w:szCs w:val="24"/>
        </w:rPr>
        <w:t xml:space="preserve">ременной разметки: служит для удаления артефактов и нежелательных сигналов из временного ряда, повышая качество анализа.</w:t>
      </w:r>
      <w:r/>
    </w:p>
    <w:p>
      <w:pPr>
        <w:pStyle w:val="946"/>
        <w:numPr>
          <w:ilvl w:val="0"/>
          <w:numId w:val="11"/>
        </w:numPr>
        <w:pBdr/>
        <w:spacing w:line="360" w:lineRule="auto"/>
        <w:ind w:right="0" w:firstLine="709" w:left="0"/>
        <w:contextualSpacing w:val="true"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меню экспорта: пользователь может выбрать, какие параметры включать при экспорте в PDF или </w:t>
      </w:r>
      <w:r>
        <w:rPr>
          <w:rFonts w:ascii="Times New Roman" w:hAnsi="Times New Roman" w:cs="Times New Roman"/>
          <w:sz w:val="24"/>
          <w:szCs w:val="24"/>
        </w:rPr>
        <w:t xml:space="preserve">Word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/>
    </w:p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Выводы</w:t>
      </w: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Разработанное</w:t>
      </w:r>
      <w:r>
        <w:rPr>
          <w:rFonts w:ascii="Times New Roman" w:hAnsi="Times New Roman" w:cs="Times New Roman"/>
          <w:sz w:val="24"/>
          <w:szCs w:val="24"/>
        </w:rPr>
        <w:t xml:space="preserve"> программное обеспечение, реализующее </w:t>
      </w:r>
      <w:r>
        <w:rPr>
          <w:rFonts w:ascii="Times New Roman" w:hAnsi="Times New Roman" w:cs="Times New Roman"/>
          <w:sz w:val="24"/>
          <w:szCs w:val="24"/>
        </w:rPr>
        <w:t xml:space="preserve">алгоритмы автоматической оценки зрелости</w:t>
      </w:r>
      <w:r>
        <w:rPr>
          <w:rFonts w:ascii="Times New Roman" w:hAnsi="Times New Roman" w:cs="Times New Roman"/>
          <w:sz w:val="24"/>
          <w:szCs w:val="24"/>
        </w:rPr>
        <w:t xml:space="preserve"> обеспечивает полный цикл работы с регистрационными ЭЭГ и НБУ данными, от их обработки и анализа до визуализации и экспорта. Оно разработано для удовлетворения потребностей иссле</w:t>
      </w:r>
      <w:r>
        <w:rPr>
          <w:rFonts w:ascii="Times New Roman" w:hAnsi="Times New Roman" w:cs="Times New Roman"/>
          <w:sz w:val="24"/>
          <w:szCs w:val="24"/>
        </w:rPr>
        <w:t xml:space="preserve">дователей и </w:t>
      </w:r>
      <w:r>
        <w:rPr>
          <w:rFonts w:ascii="Times New Roman" w:hAnsi="Times New Roman" w:cs="Times New Roman"/>
          <w:sz w:val="24"/>
          <w:szCs w:val="24"/>
        </w:rPr>
        <w:t xml:space="preserve">специалистов, предоставляя мощные инструменты анализа и удобный пользовательский интерфейс.</w:t>
      </w:r>
      <w:r>
        <w:rPr>
          <w:rFonts w:ascii="Times New Roman" w:hAnsi="Times New Roman" w:cs="Times New Roman"/>
          <w:b/>
          <w:bCs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66"/>
        <w:pBdr/>
        <w:spacing/>
        <w:ind/>
        <w:jc w:val="center"/>
        <w:rPr>
          <w:rFonts w:ascii="Times New Roman" w:hAnsi="Times New Roman" w:cs="Times New Roman"/>
          <w:sz w:val="24"/>
          <w:szCs w:val="24"/>
        </w:rPr>
      </w:pPr>
      <w:r/>
      <w:bookmarkStart w:id="10" w:name="_Toc8"/>
      <w:r>
        <w:rPr>
          <w:rFonts w:ascii="Times New Roman" w:hAnsi="Times New Roman" w:cs="Times New Roman"/>
          <w:sz w:val="24"/>
          <w:szCs w:val="24"/>
        </w:rPr>
        <w:t xml:space="preserve">ЗАКЛЮЧЕНИЕ</w:t>
      </w:r>
      <w:bookmarkEnd w:id="10"/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after="0" w:line="360" w:lineRule="auto"/>
        <w:ind w:firstLine="720"/>
        <w:contextualSpacing w:val="tru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after="0" w:line="360" w:lineRule="auto"/>
        <w:ind w:firstLine="720"/>
        <w:contextualSpacing w:val="true"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Разработка алгоритма автоматической оценки зрелости ритмов мозга представляет собой значительный шаг вперед в интеграции методик </w:t>
      </w:r>
      <w:r>
        <w:rPr>
          <w:rFonts w:ascii="Times New Roman" w:hAnsi="Times New Roman" w:cs="Times New Roman"/>
          <w:sz w:val="24"/>
          <w:szCs w:val="24"/>
        </w:rPr>
        <w:t xml:space="preserve">нейробиоуп</w:t>
      </w:r>
      <w:r>
        <w:rPr>
          <w:rFonts w:ascii="Times New Roman" w:hAnsi="Times New Roman" w:cs="Times New Roman"/>
          <w:sz w:val="24"/>
          <w:szCs w:val="24"/>
        </w:rPr>
        <w:t xml:space="preserve">равления</w:t>
      </w:r>
      <w:r>
        <w:rPr>
          <w:rFonts w:ascii="Times New Roman" w:hAnsi="Times New Roman" w:cs="Times New Roman"/>
          <w:sz w:val="24"/>
          <w:szCs w:val="24"/>
        </w:rPr>
        <w:t xml:space="preserve"> в клиническую и психофизиологическую практику. Это становится возможным благодаря разработке ясных и строго определенных критериев изменения уровня регрессии мозговой активности, которые вычисляются на основе унифицированной функциональной пробы с</w:t>
      </w:r>
      <w:r>
        <w:rPr>
          <w:rFonts w:ascii="Times New Roman" w:hAnsi="Times New Roman" w:cs="Times New Roman"/>
          <w:sz w:val="24"/>
          <w:szCs w:val="24"/>
        </w:rPr>
        <w:t xml:space="preserve">о световой стимуляцией. Данный подход способствует уменьшению рабочей нагрузки на медицинский персонал, поскольку принятие решений о результатах коррекционных процедур требует значительно меньших временных затрат. Решения формируются на основе конкретных и</w:t>
      </w:r>
      <w:r>
        <w:rPr>
          <w:rFonts w:ascii="Times New Roman" w:hAnsi="Times New Roman" w:cs="Times New Roman"/>
          <w:sz w:val="24"/>
          <w:szCs w:val="24"/>
        </w:rPr>
        <w:t xml:space="preserve"> количественно измеримых показателей, которые легко сравнивать между собой, даже при появлении новых научных данных или разработке новых более специализированных функциональных проб.</w:t>
      </w:r>
      <w:r/>
    </w:p>
    <w:p>
      <w:pPr>
        <w:pBdr/>
        <w:spacing w:after="0" w:line="360" w:lineRule="auto"/>
        <w:ind w:firstLine="720"/>
        <w:contextualSpacing w:val="true"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Классификация уровня регрессии, определяемая с помощью данного алгоритма,</w:t>
      </w:r>
      <w:r>
        <w:rPr>
          <w:rFonts w:ascii="Times New Roman" w:hAnsi="Times New Roman" w:cs="Times New Roman"/>
          <w:sz w:val="24"/>
          <w:szCs w:val="24"/>
        </w:rPr>
        <w:t xml:space="preserve"> позволяет детально охарактеризовать различия в функциональных состояниях головного мозга. Эти различия часто остаются незаметными в стандартных метриках психофизиологических заданий, несмотря на их влияние на когнитивные способности, скорость реакции и па</w:t>
      </w:r>
      <w:r>
        <w:rPr>
          <w:rFonts w:ascii="Times New Roman" w:hAnsi="Times New Roman" w:cs="Times New Roman"/>
          <w:sz w:val="24"/>
          <w:szCs w:val="24"/>
        </w:rPr>
        <w:t xml:space="preserve">мять. Таким образом, алгоритм помогает выявлять особенности мозговой активности, которые не всегда очевидны при традиционных методах исследования.</w:t>
      </w:r>
      <w:r/>
    </w:p>
    <w:p>
      <w:pPr>
        <w:pBdr/>
        <w:spacing w:after="0"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Кроме того, разработанный алгоритм предоставляет возможность для систематизации данных и их воспроизведения в</w:t>
      </w:r>
      <w:r>
        <w:rPr>
          <w:rFonts w:ascii="Times New Roman" w:hAnsi="Times New Roman" w:cs="Times New Roman"/>
          <w:sz w:val="24"/>
          <w:szCs w:val="24"/>
        </w:rPr>
        <w:t xml:space="preserve"> клинической практике. Это обеспечивает гибкость в адаптации методик </w:t>
      </w:r>
      <w:r>
        <w:rPr>
          <w:rFonts w:ascii="Times New Roman" w:hAnsi="Times New Roman" w:cs="Times New Roman"/>
          <w:sz w:val="24"/>
          <w:szCs w:val="24"/>
        </w:rPr>
        <w:t xml:space="preserve">нейробиоуправления</w:t>
      </w:r>
      <w:r>
        <w:rPr>
          <w:rFonts w:ascii="Times New Roman" w:hAnsi="Times New Roman" w:cs="Times New Roman"/>
          <w:sz w:val="24"/>
          <w:szCs w:val="24"/>
        </w:rPr>
        <w:t xml:space="preserve">, что позволяет их эффективность и актуальность всегда оставаться на передовом уровне научных достижений. Внедрение данного алгоритма способствует повышению точности диа</w:t>
      </w:r>
      <w:r>
        <w:rPr>
          <w:rFonts w:ascii="Times New Roman" w:hAnsi="Times New Roman" w:cs="Times New Roman"/>
          <w:sz w:val="24"/>
          <w:szCs w:val="24"/>
        </w:rPr>
        <w:t xml:space="preserve">гностики и лечения, благодаря прямой связи с процессами, происходящими в головном мозге, что особенно важно в контексте быстрого развития </w:t>
      </w:r>
      <w:r>
        <w:rPr>
          <w:rFonts w:ascii="Times New Roman" w:hAnsi="Times New Roman" w:cs="Times New Roman"/>
          <w:sz w:val="24"/>
          <w:szCs w:val="24"/>
        </w:rPr>
        <w:t xml:space="preserve">нейромедицинских</w:t>
      </w:r>
      <w:r>
        <w:rPr>
          <w:rFonts w:ascii="Times New Roman" w:hAnsi="Times New Roman" w:cs="Times New Roman"/>
          <w:sz w:val="24"/>
          <w:szCs w:val="24"/>
        </w:rPr>
        <w:t xml:space="preserve"> технологий.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66"/>
        <w:pBdr/>
        <w:spacing/>
        <w:ind/>
        <w:jc w:val="center"/>
        <w:rPr>
          <w:b w:val="0"/>
          <w:bCs w:val="0"/>
        </w:rPr>
      </w:pPr>
      <w:r/>
      <w:bookmarkStart w:id="11" w:name="_Toc9"/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ПРИЛОЖЕНИЯ</w:t>
      </w:r>
      <w:bookmarkEnd w:id="11"/>
      <w:r>
        <w:rPr>
          <w:b w:val="0"/>
          <w:bCs w:val="0"/>
        </w:rPr>
      </w:r>
      <w:r>
        <w:rPr>
          <w:b w:val="0"/>
          <w:bCs w:val="0"/>
        </w:rPr>
      </w:r>
    </w:p>
    <w:p>
      <w:pPr>
        <w:pBdr/>
        <w:spacing w:line="360" w:lineRule="auto"/>
        <w:ind w:firstLine="72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Подтверждения подготовки и подачи заявки на регистрацию результатов интеллек</w:t>
      </w:r>
      <w:r>
        <w:rPr>
          <w:rFonts w:ascii="Times New Roman" w:hAnsi="Times New Roman" w:cs="Times New Roman"/>
          <w:sz w:val="24"/>
          <w:szCs w:val="24"/>
        </w:rPr>
        <w:t xml:space="preserve">туальной деятельности по итогам разработки алгоритмов автоматической оценки зрелости ритмов мозга: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6"/>
        <w:numPr>
          <w:ilvl w:val="0"/>
          <w:numId w:val="1"/>
        </w:numPr>
        <w:pBdr/>
        <w:spacing w:line="360" w:lineRule="auto"/>
        <w:ind w:firstLine="0" w:left="0"/>
        <w:contextualSpacing w:val="tru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сопроводительное письмо с отметкой о получении (19 ноября 2024</w:t>
      </w:r>
      <w:r>
        <w:rPr>
          <w:rFonts w:ascii="Times New Roman" w:hAnsi="Times New Roman" w:cs="Times New Roman"/>
          <w:sz w:val="24"/>
          <w:szCs w:val="24"/>
        </w:rPr>
        <w:t xml:space="preserve">)  в</w:t>
      </w:r>
      <w:r>
        <w:rPr>
          <w:rFonts w:ascii="Times New Roman" w:hAnsi="Times New Roman" w:cs="Times New Roman"/>
          <w:sz w:val="24"/>
          <w:szCs w:val="24"/>
        </w:rPr>
        <w:t xml:space="preserve"> Федеральный Институт промышленной собственности для  регистрации программы для ЭВМ: «Прогр</w:t>
      </w:r>
      <w:r>
        <w:rPr>
          <w:rFonts w:ascii="Times New Roman" w:hAnsi="Times New Roman" w:cs="Times New Roman"/>
          <w:sz w:val="24"/>
          <w:szCs w:val="24"/>
        </w:rPr>
        <w:t xml:space="preserve">амма для оценки уровня зрелости ритмов головного мозга при функциональных пробах»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lang w:eastAsia="ru-RU"/>
        </w:rPr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81737" cy="6159443"/>
                <wp:effectExtent l="0" t="0" r="0" b="0"/>
                <wp:docPr id="17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4234671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 flipH="0" flipV="0">
                          <a:off x="0" y="0"/>
                          <a:ext cx="4081736" cy="61594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6" o:spid="_x0000_s16" type="#_x0000_t75" style="width:321.40pt;height:485.00pt;mso-wrap-distance-left:0.00pt;mso-wrap-distance-top:0.00pt;mso-wrap-distance-right:0.00pt;mso-wrap-distance-bottom:0.00pt;z-index:1;" stroked="false">
                <v:imagedata r:id="rId32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6"/>
        <w:numPr>
          <w:ilvl w:val="0"/>
          <w:numId w:val="2"/>
        </w:numPr>
        <w:pBdr/>
        <w:spacing w:line="360" w:lineRule="auto"/>
        <w:ind w:firstLine="0"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платежное поручение об оплате государственной пошлины (18 ноября 2024</w:t>
      </w:r>
      <w:r>
        <w:rPr>
          <w:rFonts w:ascii="Times New Roman" w:hAnsi="Times New Roman" w:cs="Times New Roman"/>
          <w:sz w:val="24"/>
          <w:szCs w:val="24"/>
        </w:rPr>
        <w:t xml:space="preserve">)  для</w:t>
      </w:r>
      <w:r>
        <w:rPr>
          <w:rFonts w:ascii="Times New Roman" w:hAnsi="Times New Roman" w:cs="Times New Roman"/>
          <w:sz w:val="24"/>
          <w:szCs w:val="24"/>
        </w:rPr>
        <w:t xml:space="preserve">  регистрации программы для ЭВМ: «</w:t>
      </w:r>
      <w:r>
        <w:rPr>
          <w:rFonts w:ascii="Times New Roman" w:hAnsi="Times New Roman" w:cs="Times New Roman"/>
          <w:sz w:val="24"/>
          <w:szCs w:val="24"/>
        </w:rPr>
        <w:t xml:space="preserve">Программа для оценки уровня зрелости ритмов головного мозга при функциональных пробах»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 w:firstLine="0"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31510" cy="6692098"/>
                <wp:effectExtent l="0" t="0" r="0" b="0"/>
                <wp:docPr id="18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1690739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5731509" cy="66920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7" o:spid="_x0000_s17" type="#_x0000_t75" style="width:451.30pt;height:526.94pt;mso-wrap-distance-left:0.00pt;mso-wrap-distance-top:0.00pt;mso-wrap-distance-right:0.00pt;mso-wrap-distance-bottom:0.00pt;z-index:1;" stroked="false">
                <v:imagedata r:id="rId33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line="360" w:lineRule="auto"/>
        <w:ind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66"/>
        <w:pBdr/>
        <w:spacing/>
        <w:ind/>
        <w:jc w:val="center"/>
        <w:rPr>
          <w:rFonts w:ascii="Times New Roman" w:hAnsi="Times New Roman" w:cs="Times New Roman"/>
          <w:sz w:val="24"/>
          <w:szCs w:val="24"/>
        </w:rPr>
      </w:pPr>
      <w:r/>
      <w:bookmarkStart w:id="12" w:name="_Toc10"/>
      <w:r>
        <w:rPr>
          <w:rFonts w:ascii="Times New Roman" w:hAnsi="Times New Roman" w:cs="Times New Roman"/>
          <w:sz w:val="24"/>
          <w:szCs w:val="24"/>
        </w:rPr>
        <w:t xml:space="preserve">СПИСОК ИСПОЛЬЗОВАННЫХ ИСТОЧНИКОВ</w:t>
      </w:r>
      <w:bookmarkEnd w:id="12"/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after="0" w:line="360" w:lineRule="auto"/>
        <w:ind w:firstLine="720"/>
        <w:contextualSpacing w:val="tru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6"/>
        <w:numPr>
          <w:ilvl w:val="0"/>
          <w:numId w:val="7"/>
        </w:numPr>
        <w:pBdr/>
        <w:spacing w:after="0" w:line="360" w:lineRule="auto"/>
        <w:ind w:firstLine="850"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Александров М.В., Иванов Л.Б., </w:t>
      </w:r>
      <w:r>
        <w:rPr>
          <w:rFonts w:ascii="Times New Roman" w:hAnsi="Times New Roman" w:cs="Times New Roman"/>
          <w:sz w:val="24"/>
          <w:szCs w:val="24"/>
        </w:rPr>
        <w:t xml:space="preserve">Лытаев</w:t>
      </w:r>
      <w:r>
        <w:rPr>
          <w:rFonts w:ascii="Times New Roman" w:hAnsi="Times New Roman" w:cs="Times New Roman"/>
          <w:sz w:val="24"/>
          <w:szCs w:val="24"/>
        </w:rPr>
        <w:t xml:space="preserve"> С.А. и др. Электроэнцефалография/ Под ред. М.В. Александрова. 2-е изд., </w:t>
      </w:r>
      <w:r>
        <w:rPr>
          <w:rFonts w:ascii="Times New Roman" w:hAnsi="Times New Roman" w:cs="Times New Roman"/>
          <w:sz w:val="24"/>
          <w:szCs w:val="24"/>
        </w:rPr>
        <w:t xml:space="preserve">перераб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дополн</w:t>
      </w:r>
      <w:r>
        <w:rPr>
          <w:rFonts w:ascii="Times New Roman" w:hAnsi="Times New Roman" w:cs="Times New Roman"/>
          <w:sz w:val="24"/>
          <w:szCs w:val="24"/>
        </w:rPr>
        <w:t xml:space="preserve">. С</w:t>
      </w:r>
      <w:r>
        <w:rPr>
          <w:rFonts w:ascii="Times New Roman" w:hAnsi="Times New Roman" w:cs="Times New Roman"/>
          <w:sz w:val="24"/>
          <w:szCs w:val="24"/>
        </w:rPr>
        <w:t xml:space="preserve">Пб.: Стратегия будущего, 2019. 209 с.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6"/>
        <w:numPr>
          <w:ilvl w:val="0"/>
          <w:numId w:val="7"/>
        </w:numPr>
        <w:pBdr/>
        <w:spacing w:after="0" w:line="360" w:lineRule="auto"/>
        <w:ind w:firstLine="850" w:left="0"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Савчук Л.В., Полевая С.А., Парин С.Б., Бон­дарь А.Т., Федотчев А.И. Резонансное сканирование и ана­лиз ЭЭГ при определении зрелости корковой ритмики у младших школьников. Биофизика 2022; 67(2): 354–361, </w:t>
      </w:r>
      <w:hyperlink r:id="rId34" w:tooltip="https://doi.org/10.31857/s0006302922020181." w:history="1">
        <w:r>
          <w:rPr>
            <w:rStyle w:val="927"/>
            <w:rFonts w:ascii="Times New Roman" w:hAnsi="Times New Roman" w:cs="Times New Roman"/>
            <w:sz w:val="24"/>
            <w:szCs w:val="24"/>
          </w:rPr>
          <w:t xml:space="preserve">https://doi.org/10.31857/s0006302922020181.</w:t>
        </w:r>
      </w:hyperlink>
      <w:r/>
      <w:r/>
    </w:p>
    <w:p>
      <w:pPr>
        <w:pStyle w:val="946"/>
        <w:numPr>
          <w:ilvl w:val="0"/>
          <w:numId w:val="7"/>
        </w:numPr>
        <w:pBdr/>
        <w:spacing w:after="0" w:line="360" w:lineRule="auto"/>
        <w:ind w:firstLine="850" w:left="0"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Бондарь А.Т., Федотчев А.И., Полевая С.А. Пространственные особенности нелинейных процессов в коре головн</w:t>
      </w:r>
      <w:r>
        <w:rPr>
          <w:rFonts w:ascii="Times New Roman" w:hAnsi="Times New Roman" w:cs="Times New Roman"/>
          <w:sz w:val="24"/>
          <w:szCs w:val="24"/>
        </w:rPr>
        <w:t xml:space="preserve">ого мозга. // Нелинейная динамика в когнитивных исследованиях: Труды VI Всероссийской конференции. Нижний Новгород: Нижний Новгород. ИПФ РАН. 234 </w:t>
      </w:r>
      <w:r>
        <w:rPr>
          <w:rFonts w:ascii="Times New Roman" w:hAnsi="Times New Roman" w:cs="Times New Roman"/>
          <w:sz w:val="24"/>
          <w:szCs w:val="24"/>
        </w:rPr>
        <w:t xml:space="preserve">с..</w:t>
      </w:r>
      <w:r>
        <w:rPr>
          <w:rFonts w:ascii="Times New Roman" w:hAnsi="Times New Roman" w:cs="Times New Roman"/>
          <w:sz w:val="24"/>
          <w:szCs w:val="24"/>
        </w:rPr>
        <w:t xml:space="preserve"> 2019. С. 49-50. </w:t>
      </w:r>
      <w:r/>
    </w:p>
    <w:p>
      <w:pPr>
        <w:pStyle w:val="946"/>
        <w:numPr>
          <w:ilvl w:val="0"/>
          <w:numId w:val="7"/>
        </w:numPr>
        <w:pBdr/>
        <w:spacing w:after="0" w:line="360" w:lineRule="auto"/>
        <w:ind w:firstLine="850" w:left="0"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Горохов П. К. Толковый словарь по радиоэлектронике. Основные термины. — М: Рус. яз., 1993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pStyle w:val="946"/>
        <w:numPr>
          <w:ilvl w:val="0"/>
          <w:numId w:val="7"/>
        </w:numPr>
        <w:pBdr/>
        <w:spacing w:after="0" w:line="360" w:lineRule="auto"/>
        <w:ind w:firstLine="850" w:left="0"/>
        <w:jc w:val="both"/>
        <w:rPr/>
      </w:pPr>
      <w:r>
        <w:rPr>
          <w:rFonts w:ascii="Times New Roman" w:hAnsi="Times New Roman" w:cs="Times New Roman"/>
          <w:sz w:val="24"/>
          <w:szCs w:val="24"/>
        </w:rPr>
        <w:t xml:space="preserve">Федотчев А.И., Полевая С.А, Парин С.Б.  Резонансное </w:t>
      </w:r>
      <w:r>
        <w:rPr>
          <w:rFonts w:ascii="Times New Roman" w:hAnsi="Times New Roman" w:cs="Times New Roman"/>
          <w:sz w:val="24"/>
          <w:szCs w:val="24"/>
        </w:rPr>
        <w:t xml:space="preserve">нейробиоуправление</w:t>
      </w:r>
      <w:r>
        <w:rPr>
          <w:rFonts w:ascii="Times New Roman" w:hAnsi="Times New Roman" w:cs="Times New Roman"/>
          <w:sz w:val="24"/>
          <w:szCs w:val="24"/>
        </w:rPr>
        <w:t xml:space="preserve"> для улучшения когнитивных функций мозга. – Нижний Новгород: Изд-во «ННГУ им. Н.И. Лобачевского», 2024. – 186 с.</w:t>
      </w:r>
      <w:r/>
    </w:p>
    <w:p>
      <w:pPr>
        <w:pStyle w:val="946"/>
        <w:numPr>
          <w:ilvl w:val="0"/>
          <w:numId w:val="7"/>
        </w:numPr>
        <w:pBdr/>
        <w:spacing w:after="0" w:line="360" w:lineRule="auto"/>
        <w:ind w:firstLine="850"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Синдром дефицита внимания с </w:t>
      </w:r>
      <w:r>
        <w:rPr>
          <w:rFonts w:ascii="Times New Roman" w:hAnsi="Times New Roman" w:cs="Times New Roman"/>
          <w:sz w:val="24"/>
          <w:szCs w:val="24"/>
        </w:rPr>
        <w:t xml:space="preserve">гиперактивностью</w:t>
      </w:r>
      <w:r>
        <w:rPr>
          <w:rFonts w:ascii="Times New Roman" w:hAnsi="Times New Roman" w:cs="Times New Roman"/>
          <w:sz w:val="24"/>
          <w:szCs w:val="24"/>
        </w:rPr>
        <w:t xml:space="preserve"> и современные возможности </w:t>
      </w:r>
      <w:r>
        <w:rPr>
          <w:rFonts w:ascii="Times New Roman" w:hAnsi="Times New Roman" w:cs="Times New Roman"/>
          <w:sz w:val="24"/>
          <w:szCs w:val="24"/>
        </w:rPr>
        <w:t xml:space="preserve">его лечения методом </w:t>
      </w:r>
      <w:r>
        <w:rPr>
          <w:rFonts w:ascii="Times New Roman" w:hAnsi="Times New Roman" w:cs="Times New Roman"/>
          <w:sz w:val="24"/>
          <w:szCs w:val="24"/>
        </w:rPr>
        <w:t xml:space="preserve">нейробиоуправления</w:t>
      </w:r>
      <w:r>
        <w:rPr>
          <w:rFonts w:ascii="Times New Roman" w:hAnsi="Times New Roman" w:cs="Times New Roman"/>
          <w:sz w:val="24"/>
          <w:szCs w:val="24"/>
        </w:rPr>
        <w:t xml:space="preserve"> А. И. Федотчев [и др.] // Журн. неврологии и психиатрии им. С.С. Корсакова. - 2016. - Том 116, N </w:t>
      </w:r>
      <w:r>
        <w:rPr>
          <w:rFonts w:ascii="Times New Roman" w:hAnsi="Times New Roman" w:cs="Times New Roman"/>
          <w:sz w:val="24"/>
          <w:szCs w:val="24"/>
        </w:rPr>
        <w:t xml:space="preserve">5 :</w:t>
      </w:r>
      <w:r>
        <w:rPr>
          <w:rFonts w:ascii="Times New Roman" w:hAnsi="Times New Roman" w:cs="Times New Roman"/>
          <w:sz w:val="24"/>
          <w:szCs w:val="24"/>
        </w:rPr>
        <w:t xml:space="preserve"> 98-101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6"/>
        <w:numPr>
          <w:ilvl w:val="0"/>
          <w:numId w:val="7"/>
        </w:numPr>
        <w:pBdr/>
        <w:spacing w:after="0" w:line="360" w:lineRule="auto"/>
        <w:ind w:firstLine="850"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И. В. </w:t>
      </w:r>
      <w:r>
        <w:rPr>
          <w:rFonts w:ascii="Times New Roman" w:hAnsi="Times New Roman" w:cs="Times New Roman"/>
          <w:sz w:val="24"/>
          <w:szCs w:val="24"/>
        </w:rPr>
        <w:t xml:space="preserve">Нуйдель</w:t>
      </w:r>
      <w:r>
        <w:rPr>
          <w:rFonts w:ascii="Times New Roman" w:hAnsi="Times New Roman" w:cs="Times New Roman"/>
          <w:sz w:val="24"/>
          <w:szCs w:val="24"/>
        </w:rPr>
        <w:t xml:space="preserve">, А. В. Колосов, С. А. Пермяков, И. С. Егоров, С. А. Полевая, В. Г. </w:t>
      </w:r>
      <w:r>
        <w:rPr>
          <w:rFonts w:ascii="Times New Roman" w:hAnsi="Times New Roman" w:cs="Times New Roman"/>
          <w:sz w:val="24"/>
          <w:szCs w:val="24"/>
        </w:rPr>
        <w:t xml:space="preserve">Яхно</w:t>
      </w:r>
      <w:r>
        <w:rPr>
          <w:rFonts w:ascii="Times New Roman" w:hAnsi="Times New Roman" w:cs="Times New Roman"/>
          <w:sz w:val="24"/>
          <w:szCs w:val="24"/>
        </w:rPr>
        <w:t xml:space="preserve">, “Математическая модель</w:t>
      </w:r>
      <w:r>
        <w:rPr>
          <w:rFonts w:ascii="Times New Roman" w:hAnsi="Times New Roman" w:cs="Times New Roman"/>
          <w:sz w:val="24"/>
          <w:szCs w:val="24"/>
        </w:rPr>
        <w:t xml:space="preserve"> управления </w:t>
      </w:r>
      <w:r>
        <w:rPr>
          <w:rFonts w:ascii="Times New Roman" w:hAnsi="Times New Roman" w:cs="Times New Roman"/>
          <w:sz w:val="24"/>
          <w:szCs w:val="24"/>
        </w:rPr>
        <w:t xml:space="preserve">нейропластичностью</w:t>
      </w:r>
      <w:r>
        <w:rPr>
          <w:rFonts w:ascii="Times New Roman" w:hAnsi="Times New Roman" w:cs="Times New Roman"/>
          <w:sz w:val="24"/>
          <w:szCs w:val="24"/>
        </w:rPr>
        <w:t xml:space="preserve"> мозга при </w:t>
      </w:r>
      <w:r>
        <w:rPr>
          <w:rFonts w:ascii="Times New Roman" w:hAnsi="Times New Roman" w:cs="Times New Roman"/>
          <w:sz w:val="24"/>
          <w:szCs w:val="24"/>
        </w:rPr>
        <w:t xml:space="preserve">нейробиоуправлении</w:t>
      </w:r>
      <w:r>
        <w:rPr>
          <w:rFonts w:ascii="Times New Roman" w:hAnsi="Times New Roman" w:cs="Times New Roman"/>
          <w:sz w:val="24"/>
          <w:szCs w:val="24"/>
        </w:rPr>
        <w:t xml:space="preserve">”, Известия вузов. ПНД, 32:4 (2024), 472–491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/>
      </w:pPr>
      <w:r/>
      <w:r/>
    </w:p>
    <w:sectPr>
      <w:headerReference w:type="default" r:id="rId10"/>
      <w:headerReference w:type="even" r:id="rId11"/>
      <w:headerReference w:type="first" r:id="rId12"/>
      <w:footerReference w:type="default" r:id="rId13"/>
      <w:footerReference w:type="even" r:id="rId14"/>
      <w:footerReference w:type="first" r:id="rId15"/>
      <w:footnotePr/>
      <w:endnotePr/>
      <w:type w:val="nextPage"/>
      <w:pgSz w:h="16838" w:orient="landscape" w:w="11906"/>
      <w:pgMar w:top="1440" w:right="1440" w:bottom="1440" w:left="1440" w:header="709" w:footer="709" w:gutter="0"/>
      <w:cols w:num="1" w:sep="0" w:space="708" w:equalWidth="1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 Math">
    <w:panose1 w:val="02000603000000000000"/>
  </w:font>
  <w:font w:name="Courier New">
    <w:panose1 w:val="02070409020205020404"/>
  </w:font>
  <w:font w:name="Symbol">
    <w:panose1 w:val="05010000000000000000"/>
  </w:font>
  <w:font w:name="Segoe UI">
    <w:panose1 w:val="020B0502040504020204"/>
  </w:font>
  <w:font w:name="Times New Roman">
    <w:panose1 w:val="02020603050405020304"/>
  </w:font>
  <w:font w:name="Wingdings">
    <w:panose1 w:val="05010000000000000000"/>
  </w:font>
  <w:font w:name="Liberation Sans">
    <w:panose1 w:val="020B060402020202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97"/>
      <w:pBdr/>
      <w:spacing/>
      <w:ind/>
      <w:jc w:val="center"/>
      <w:rPr/>
    </w:pPr>
    <w:r>
      <w:fldChar w:fldCharType="begin"/>
    </w:r>
    <w:r>
      <w:instrText xml:space="preserve">PAGE \* MERGEFORMAT</w:instrText>
    </w:r>
    <w:r>
      <w:fldChar w:fldCharType="separate"/>
    </w:r>
    <w:r>
      <w:t xml:space="preserve">4</w:t>
    </w:r>
    <w:r>
      <w:fldChar w:fldCharType="end"/>
    </w:r>
    <w:r/>
  </w:p>
  <w:p>
    <w:pPr>
      <w:pStyle w:val="797"/>
      <w:pBdr/>
      <w:spacing/>
      <w:ind/>
      <w:rPr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97"/>
      <w:pBdr/>
      <w:spacing/>
      <w:ind/>
      <w:rPr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97"/>
      <w:pBdr/>
      <w:spacing/>
      <w:ind/>
      <w:rPr/>
    </w:pPr>
    <w:r/>
    <w:bookmarkStart w:id="2" w:name="_GoBack"/>
    <w:r/>
    <w:bookmarkEnd w:id="2"/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95"/>
      <w:pBdr/>
      <w:spacing/>
      <w:ind/>
      <w:rPr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95"/>
      <w:pBdr/>
      <w:spacing/>
      <w:ind/>
      <w:rPr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95"/>
      <w:pBdr/>
      <w:spacing/>
      <w:ind/>
      <w:rPr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·"/>
      <w:numFmt w:val="bullet"/>
      <w:pPr>
        <w:pBdr/>
        <w:spacing/>
        <w:ind w:hanging="360" w:left="720"/>
      </w:pPr>
      <w:rPr>
        <w:rFonts w:hint="default" w:ascii="Symbol" w:hAnsi="Symbol" w:eastAsia="Symbol" w:cs="Symbol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space"/>
    </w:lvl>
  </w:abstractNum>
  <w:abstractNum w:abstractNumId="1">
    <w:lvl w:ilvl="0">
      <w:isLgl w:val="false"/>
      <w:lvlJc w:val="left"/>
      <w:lvlText w:val="–"/>
      <w:numFmt w:val="bullet"/>
      <w:pPr>
        <w:pBdr/>
        <w:spacing/>
        <w:ind w:hanging="360" w:left="709"/>
      </w:pPr>
      <w:rPr>
        <w:rFonts w:hint="default" w:ascii="Arial" w:hAnsi="Arial" w:eastAsia="Arial" w:cs="Arial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space"/>
    </w:lvl>
  </w:abstractNum>
  <w:abstractNum w:abstractNumId="2">
    <w:lvl w:ilvl="0">
      <w:isLgl w:val="false"/>
      <w:lvlJc w:val="left"/>
      <w:lvlText w:val="%1."/>
      <w:numFmt w:val="decimal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3">
    <w:lvl w:ilvl="0">
      <w:isLgl w:val="false"/>
      <w:lvlJc w:val="left"/>
      <w:lvlText w:val="–"/>
      <w:numFmt w:val="bullet"/>
      <w:pPr>
        <w:pBdr/>
        <w:spacing/>
        <w:ind w:hanging="360" w:left="1429"/>
      </w:pPr>
      <w:rPr>
        <w:rFonts w:hint="default" w:ascii="Arial" w:hAnsi="Arial" w:eastAsia="Arial" w:cs="Arial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2149"/>
      </w:pPr>
      <w:rPr>
        <w:rFonts w:hint="default" w:ascii="Courier New" w:hAnsi="Courier New" w:eastAsia="Courier New" w:cs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869"/>
      </w:pPr>
      <w:rPr>
        <w:rFonts w:hint="default" w:ascii="Wingdings" w:hAnsi="Wingdings" w:eastAsia="Wingdings" w:cs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3589"/>
      </w:pPr>
      <w:rPr>
        <w:rFonts w:hint="default" w:ascii="Symbol" w:hAnsi="Symbol" w:eastAsia="Symbol" w:cs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4309"/>
      </w:pPr>
      <w:rPr>
        <w:rFonts w:hint="default" w:ascii="Courier New" w:hAnsi="Courier New" w:eastAsia="Courier New" w:cs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5029"/>
      </w:pPr>
      <w:rPr>
        <w:rFonts w:hint="default" w:ascii="Wingdings" w:hAnsi="Wingdings" w:eastAsia="Wingdings" w:cs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749"/>
      </w:pPr>
      <w:rPr>
        <w:rFonts w:hint="default" w:ascii="Symbol" w:hAnsi="Symbol" w:eastAsia="Symbol" w:cs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6469"/>
      </w:pPr>
      <w:rPr>
        <w:rFonts w:hint="default" w:ascii="Courier New" w:hAnsi="Courier New" w:eastAsia="Courier New" w:cs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7189"/>
      </w:pPr>
      <w:rPr>
        <w:rFonts w:hint="default" w:ascii="Wingdings" w:hAnsi="Wingdings" w:eastAsia="Wingdings" w:cs="Wingdings"/>
      </w:rPr>
      <w:start w:val="1"/>
      <w:suff w:val="space"/>
    </w:lvl>
  </w:abstractNum>
  <w:abstractNum w:abstractNumId="4">
    <w:lvl w:ilvl="0">
      <w:isLgl w:val="false"/>
      <w:lvlJc w:val="left"/>
      <w:lvlText w:val="·"/>
      <w:numFmt w:val="bullet"/>
      <w:pPr>
        <w:pBdr/>
        <w:spacing/>
        <w:ind w:hanging="360" w:left="720"/>
      </w:pPr>
      <w:rPr>
        <w:rFonts w:hint="default" w:ascii="Symbol" w:hAnsi="Symbol" w:eastAsia="Symbol" w:cs="Symbol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space"/>
    </w:lvl>
  </w:abstractNum>
  <w:abstractNum w:abstractNumId="5">
    <w:lvl w:ilvl="0">
      <w:isLgl w:val="false"/>
      <w:lvlJc w:val="left"/>
      <w:lvlText w:val="·"/>
      <w:numFmt w:val="bullet"/>
      <w:pPr>
        <w:pBdr/>
        <w:spacing/>
        <w:ind w:hanging="360" w:left="720"/>
      </w:pPr>
      <w:rPr>
        <w:rFonts w:hint="default" w:ascii="Symbol" w:hAnsi="Symbol" w:eastAsia="Symbol" w:cs="Symbol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space"/>
    </w:lvl>
  </w:abstractNum>
  <w:abstractNum w:abstractNumId="6">
    <w:lvl w:ilvl="0">
      <w:isLgl w:val="false"/>
      <w:lvlJc w:val="left"/>
      <w:lvlText w:val="–"/>
      <w:numFmt w:val="bullet"/>
      <w:pPr>
        <w:pBdr/>
        <w:spacing/>
        <w:ind w:hanging="360" w:left="709"/>
      </w:pPr>
      <w:rPr>
        <w:rFonts w:hint="default" w:ascii="Arial" w:hAnsi="Arial" w:eastAsia="Arial" w:cs="Arial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space"/>
    </w:lvl>
  </w:abstractNum>
  <w:abstractNum w:abstractNumId="7">
    <w:lvl w:ilvl="0">
      <w:isLgl w:val="false"/>
      <w:lvlJc w:val="left"/>
      <w:lvlText w:val="%1."/>
      <w:numFmt w:val="decimal"/>
      <w:pPr>
        <w:pBdr/>
        <w:spacing/>
        <w:ind w:hanging="360" w:left="709"/>
      </w:pPr>
      <w:rPr/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29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49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69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589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09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29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49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69"/>
      </w:pPr>
      <w:rPr/>
      <w:start w:val="1"/>
      <w:suff w:val="space"/>
    </w:lvl>
  </w:abstractNum>
  <w:abstractNum w:abstractNumId="8">
    <w:lvl w:ilvl="0">
      <w:isLgl w:val="false"/>
      <w:lvlJc w:val="left"/>
      <w:lvlText w:val="–"/>
      <w:numFmt w:val="bullet"/>
      <w:pPr>
        <w:pBdr/>
        <w:spacing/>
        <w:ind w:hanging="360" w:left="1429"/>
      </w:pPr>
      <w:rPr>
        <w:rFonts w:hint="default" w:ascii="Arial" w:hAnsi="Arial" w:eastAsia="Arial" w:cs="Arial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2149"/>
      </w:pPr>
      <w:rPr>
        <w:rFonts w:hint="default" w:ascii="Courier New" w:hAnsi="Courier New" w:eastAsia="Courier New" w:cs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869"/>
      </w:pPr>
      <w:rPr>
        <w:rFonts w:hint="default" w:ascii="Wingdings" w:hAnsi="Wingdings" w:eastAsia="Wingdings" w:cs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3589"/>
      </w:pPr>
      <w:rPr>
        <w:rFonts w:hint="default" w:ascii="Symbol" w:hAnsi="Symbol" w:eastAsia="Symbol" w:cs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4309"/>
      </w:pPr>
      <w:rPr>
        <w:rFonts w:hint="default" w:ascii="Courier New" w:hAnsi="Courier New" w:eastAsia="Courier New" w:cs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5029"/>
      </w:pPr>
      <w:rPr>
        <w:rFonts w:hint="default" w:ascii="Wingdings" w:hAnsi="Wingdings" w:eastAsia="Wingdings" w:cs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749"/>
      </w:pPr>
      <w:rPr>
        <w:rFonts w:hint="default" w:ascii="Symbol" w:hAnsi="Symbol" w:eastAsia="Symbol" w:cs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6469"/>
      </w:pPr>
      <w:rPr>
        <w:rFonts w:hint="default" w:ascii="Courier New" w:hAnsi="Courier New" w:eastAsia="Courier New" w:cs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7189"/>
      </w:pPr>
      <w:rPr>
        <w:rFonts w:hint="default" w:ascii="Wingdings" w:hAnsi="Wingdings" w:eastAsia="Wingdings" w:cs="Wingdings"/>
      </w:rPr>
      <w:start w:val="1"/>
      <w:suff w:val="space"/>
    </w:lvl>
  </w:abstractNum>
  <w:abstractNum w:abstractNumId="9">
    <w:lvl w:ilvl="0">
      <w:isLgl w:val="false"/>
      <w:lvlJc w:val="left"/>
      <w:lvlText w:val="·"/>
      <w:numFmt w:val="bullet"/>
      <w:pPr>
        <w:pBdr/>
        <w:spacing/>
        <w:ind w:hanging="360" w:left="720"/>
      </w:pPr>
      <w:rPr>
        <w:rFonts w:hint="default" w:ascii="Symbol" w:hAnsi="Symbol" w:eastAsia="Symbol" w:cs="Symbol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space"/>
    </w:lvl>
  </w:abstractNum>
  <w:abstractNum w:abstractNumId="10">
    <w:lvl w:ilvl="0">
      <w:isLgl w:val="false"/>
      <w:lvlJc w:val="left"/>
      <w:lvlText w:val="·"/>
      <w:numFmt w:val="bullet"/>
      <w:pPr>
        <w:pBdr/>
        <w:spacing/>
        <w:ind w:hanging="360" w:left="720"/>
      </w:pPr>
      <w:rPr>
        <w:rFonts w:hint="default" w:ascii="Symbol" w:hAnsi="Symbol" w:eastAsia="Symbol" w:cs="Symbol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space"/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8"/>
  </w:num>
  <w:num w:numId="5">
    <w:abstractNumId w:val="4"/>
  </w:num>
  <w:num w:numId="6">
    <w:abstractNumId w:val="7"/>
  </w:num>
  <w:num w:numId="7">
    <w:abstractNumId w:val="2"/>
  </w:num>
  <w:num w:numId="8">
    <w:abstractNumId w:val="0"/>
  </w:num>
  <w:num w:numId="9">
    <w:abstractNumId w:val="9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48">
    <w:name w:val="Heading 1 Char"/>
    <w:basedOn w:val="775"/>
    <w:link w:val="766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character" w:styleId="749">
    <w:name w:val="Heading 2 Char"/>
    <w:basedOn w:val="775"/>
    <w:link w:val="767"/>
    <w:uiPriority w:val="9"/>
    <w:pPr>
      <w:pBdr/>
      <w:spacing/>
      <w:ind/>
    </w:pPr>
    <w:rPr>
      <w:rFonts w:ascii="Arial" w:hAnsi="Arial" w:eastAsia="Arial" w:cs="Arial"/>
      <w:sz w:val="34"/>
    </w:rPr>
  </w:style>
  <w:style w:type="character" w:styleId="750">
    <w:name w:val="Heading 3 Char"/>
    <w:basedOn w:val="775"/>
    <w:link w:val="768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character" w:styleId="751">
    <w:name w:val="Heading 4 Char"/>
    <w:basedOn w:val="775"/>
    <w:link w:val="769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character" w:styleId="752">
    <w:name w:val="Heading 5 Char"/>
    <w:basedOn w:val="775"/>
    <w:link w:val="770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character" w:styleId="753">
    <w:name w:val="Heading 6 Char"/>
    <w:basedOn w:val="775"/>
    <w:link w:val="771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character" w:styleId="754">
    <w:name w:val="Heading 7 Char"/>
    <w:basedOn w:val="775"/>
    <w:link w:val="772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55">
    <w:name w:val="Heading 8 Char"/>
    <w:basedOn w:val="775"/>
    <w:link w:val="773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character" w:styleId="756">
    <w:name w:val="Heading 9 Char"/>
    <w:basedOn w:val="775"/>
    <w:link w:val="774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character" w:styleId="757">
    <w:name w:val="Title Char"/>
    <w:basedOn w:val="775"/>
    <w:link w:val="787"/>
    <w:uiPriority w:val="10"/>
    <w:pPr>
      <w:pBdr/>
      <w:spacing/>
      <w:ind/>
    </w:pPr>
    <w:rPr>
      <w:sz w:val="48"/>
      <w:szCs w:val="48"/>
    </w:rPr>
  </w:style>
  <w:style w:type="character" w:styleId="758">
    <w:name w:val="Subtitle Char"/>
    <w:basedOn w:val="775"/>
    <w:link w:val="789"/>
    <w:uiPriority w:val="11"/>
    <w:pPr>
      <w:pBdr/>
      <w:spacing/>
      <w:ind/>
    </w:pPr>
    <w:rPr>
      <w:sz w:val="24"/>
      <w:szCs w:val="24"/>
    </w:rPr>
  </w:style>
  <w:style w:type="character" w:styleId="759">
    <w:name w:val="Quote Char"/>
    <w:link w:val="791"/>
    <w:uiPriority w:val="29"/>
    <w:pPr>
      <w:pBdr/>
      <w:spacing/>
      <w:ind/>
    </w:pPr>
    <w:rPr>
      <w:i/>
    </w:rPr>
  </w:style>
  <w:style w:type="character" w:styleId="760">
    <w:name w:val="Intense Quote Char"/>
    <w:link w:val="793"/>
    <w:uiPriority w:val="30"/>
    <w:pPr>
      <w:pBdr/>
      <w:spacing/>
      <w:ind/>
    </w:pPr>
    <w:rPr>
      <w:i/>
    </w:rPr>
  </w:style>
  <w:style w:type="character" w:styleId="761">
    <w:name w:val="Header Char"/>
    <w:basedOn w:val="775"/>
    <w:link w:val="795"/>
    <w:uiPriority w:val="99"/>
    <w:pPr>
      <w:pBdr/>
      <w:spacing/>
      <w:ind/>
    </w:pPr>
  </w:style>
  <w:style w:type="character" w:styleId="762">
    <w:name w:val="Caption Char"/>
    <w:basedOn w:val="799"/>
    <w:link w:val="797"/>
    <w:uiPriority w:val="99"/>
    <w:pPr>
      <w:pBdr/>
      <w:spacing/>
      <w:ind/>
    </w:pPr>
  </w:style>
  <w:style w:type="character" w:styleId="763">
    <w:name w:val="Footnote Text Char"/>
    <w:link w:val="928"/>
    <w:uiPriority w:val="99"/>
    <w:pPr>
      <w:pBdr/>
      <w:spacing/>
      <w:ind/>
    </w:pPr>
    <w:rPr>
      <w:sz w:val="18"/>
    </w:rPr>
  </w:style>
  <w:style w:type="character" w:styleId="764">
    <w:name w:val="Endnote Text Char"/>
    <w:link w:val="931"/>
    <w:uiPriority w:val="99"/>
    <w:pPr>
      <w:pBdr/>
      <w:spacing/>
      <w:ind/>
    </w:pPr>
    <w:rPr>
      <w:sz w:val="20"/>
    </w:rPr>
  </w:style>
  <w:style w:type="paragraph" w:styleId="765" w:default="1">
    <w:name w:val="Normal"/>
    <w:qFormat/>
    <w:pPr>
      <w:pBdr/>
      <w:spacing/>
      <w:ind/>
    </w:pPr>
    <w:rPr>
      <w:rFonts w:ascii="Liberation Sans" w:hAnsi="Liberation Sans" w:eastAsia="Liberation Sans" w:cs="Liberation Sans"/>
      <w:sz w:val="20"/>
      <w:szCs w:val="20"/>
    </w:rPr>
  </w:style>
  <w:style w:type="paragraph" w:styleId="766">
    <w:name w:val="Heading 1"/>
    <w:basedOn w:val="765"/>
    <w:next w:val="765"/>
    <w:link w:val="778"/>
    <w:uiPriority w:val="9"/>
    <w:qFormat/>
    <w:pPr>
      <w:keepNext w:val="true"/>
      <w:keepLines w:val="true"/>
      <w:pBdr/>
      <w:spacing w:before="480"/>
      <w:ind/>
      <w:outlineLvl w:val="0"/>
    </w:pPr>
    <w:rPr>
      <w:sz w:val="40"/>
      <w:szCs w:val="40"/>
    </w:rPr>
  </w:style>
  <w:style w:type="paragraph" w:styleId="767">
    <w:name w:val="Heading 2"/>
    <w:basedOn w:val="766"/>
    <w:next w:val="765"/>
    <w:link w:val="779"/>
    <w:uiPriority w:val="9"/>
    <w:unhideWhenUsed/>
    <w:qFormat/>
    <w:pPr>
      <w:pBdr/>
      <w:spacing/>
      <w:ind/>
      <w:outlineLvl w:val="1"/>
    </w:pPr>
  </w:style>
  <w:style w:type="paragraph" w:styleId="768">
    <w:name w:val="Heading 3"/>
    <w:basedOn w:val="765"/>
    <w:next w:val="765"/>
    <w:link w:val="780"/>
    <w:uiPriority w:val="9"/>
    <w:unhideWhenUsed/>
    <w:qFormat/>
    <w:pPr>
      <w:keepNext w:val="true"/>
      <w:keepLines w:val="true"/>
      <w:pBdr/>
      <w:spacing w:before="320"/>
      <w:ind/>
      <w:outlineLvl w:val="2"/>
    </w:pPr>
    <w:rPr>
      <w:rFonts w:eastAsia="Arial"/>
      <w:sz w:val="30"/>
      <w:szCs w:val="30"/>
    </w:rPr>
  </w:style>
  <w:style w:type="paragraph" w:styleId="769">
    <w:name w:val="Heading 4"/>
    <w:basedOn w:val="765"/>
    <w:next w:val="765"/>
    <w:link w:val="781"/>
    <w:uiPriority w:val="9"/>
    <w:unhideWhenUsed/>
    <w:qFormat/>
    <w:pPr>
      <w:keepNext w:val="true"/>
      <w:keepLines w:val="true"/>
      <w:pBdr/>
      <w:spacing w:before="320"/>
      <w:ind/>
      <w:outlineLvl w:val="3"/>
    </w:pPr>
    <w:rPr>
      <w:b/>
      <w:bCs/>
      <w:sz w:val="26"/>
      <w:szCs w:val="26"/>
    </w:rPr>
  </w:style>
  <w:style w:type="paragraph" w:styleId="770">
    <w:name w:val="Heading 5"/>
    <w:basedOn w:val="765"/>
    <w:next w:val="765"/>
    <w:link w:val="782"/>
    <w:uiPriority w:val="9"/>
    <w:unhideWhenUsed/>
    <w:qFormat/>
    <w:pPr>
      <w:keepNext w:val="true"/>
      <w:keepLines w:val="true"/>
      <w:pBdr/>
      <w:spacing w:before="320"/>
      <w:ind/>
      <w:outlineLvl w:val="4"/>
    </w:pPr>
    <w:rPr>
      <w:b/>
      <w:bCs/>
      <w:sz w:val="24"/>
      <w:szCs w:val="24"/>
    </w:rPr>
  </w:style>
  <w:style w:type="paragraph" w:styleId="771">
    <w:name w:val="Heading 6"/>
    <w:basedOn w:val="765"/>
    <w:next w:val="765"/>
    <w:link w:val="783"/>
    <w:uiPriority w:val="9"/>
    <w:unhideWhenUsed/>
    <w:qFormat/>
    <w:pPr>
      <w:keepNext w:val="true"/>
      <w:keepLines w:val="true"/>
      <w:pBdr/>
      <w:spacing w:before="320"/>
      <w:ind/>
      <w:outlineLvl w:val="5"/>
    </w:pPr>
    <w:rPr>
      <w:b/>
      <w:bCs/>
      <w:sz w:val="22"/>
      <w:szCs w:val="22"/>
    </w:rPr>
  </w:style>
  <w:style w:type="paragraph" w:styleId="772">
    <w:name w:val="Heading 7"/>
    <w:basedOn w:val="765"/>
    <w:next w:val="765"/>
    <w:link w:val="784"/>
    <w:uiPriority w:val="9"/>
    <w:unhideWhenUsed/>
    <w:qFormat/>
    <w:pPr>
      <w:keepNext w:val="true"/>
      <w:keepLines w:val="true"/>
      <w:pBdr/>
      <w:spacing w:before="320"/>
      <w:ind/>
      <w:outlineLvl w:val="6"/>
    </w:pPr>
    <w:rPr>
      <w:b/>
      <w:bCs/>
      <w:i/>
      <w:iCs/>
      <w:sz w:val="22"/>
      <w:szCs w:val="22"/>
    </w:rPr>
  </w:style>
  <w:style w:type="paragraph" w:styleId="773">
    <w:name w:val="Heading 8"/>
    <w:basedOn w:val="765"/>
    <w:next w:val="765"/>
    <w:link w:val="785"/>
    <w:uiPriority w:val="9"/>
    <w:unhideWhenUsed/>
    <w:qFormat/>
    <w:pPr>
      <w:keepNext w:val="true"/>
      <w:keepLines w:val="true"/>
      <w:pBdr/>
      <w:spacing w:before="320"/>
      <w:ind/>
      <w:outlineLvl w:val="7"/>
    </w:pPr>
    <w:rPr>
      <w:i/>
      <w:iCs/>
      <w:sz w:val="22"/>
      <w:szCs w:val="22"/>
    </w:rPr>
  </w:style>
  <w:style w:type="paragraph" w:styleId="774">
    <w:name w:val="Heading 9"/>
    <w:basedOn w:val="765"/>
    <w:next w:val="765"/>
    <w:link w:val="786"/>
    <w:uiPriority w:val="9"/>
    <w:unhideWhenUsed/>
    <w:qFormat/>
    <w:pPr>
      <w:keepNext w:val="true"/>
      <w:keepLines w:val="true"/>
      <w:pBdr/>
      <w:spacing w:before="320"/>
      <w:ind/>
      <w:outlineLvl w:val="8"/>
    </w:pPr>
    <w:rPr>
      <w:i/>
      <w:iCs/>
      <w:sz w:val="21"/>
      <w:szCs w:val="21"/>
    </w:rPr>
  </w:style>
  <w:style w:type="character" w:styleId="775" w:default="1">
    <w:name w:val="Default Paragraph Font"/>
    <w:uiPriority w:val="1"/>
    <w:semiHidden/>
    <w:unhideWhenUsed/>
    <w:pPr>
      <w:pBdr/>
      <w:spacing/>
      <w:ind/>
    </w:pPr>
  </w:style>
  <w:style w:type="table" w:styleId="776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777" w:default="1">
    <w:name w:val="No List"/>
    <w:uiPriority w:val="99"/>
    <w:semiHidden/>
    <w:unhideWhenUsed/>
    <w:pPr>
      <w:pBdr/>
      <w:spacing/>
      <w:ind/>
    </w:pPr>
  </w:style>
  <w:style w:type="character" w:styleId="778" w:customStyle="1">
    <w:name w:val="Заголовок 1 Знак"/>
    <w:link w:val="766"/>
    <w:uiPriority w:val="9"/>
    <w:pPr>
      <w:pBdr/>
      <w:spacing/>
      <w:ind/>
    </w:pPr>
    <w:rPr>
      <w:rFonts w:ascii="Liberation Sans" w:hAnsi="Liberation Sans" w:eastAsia="Liberation Sans" w:cs="Liberation Sans"/>
    </w:rPr>
  </w:style>
  <w:style w:type="character" w:styleId="779" w:customStyle="1">
    <w:name w:val="Заголовок 2 Знак"/>
    <w:link w:val="767"/>
    <w:uiPriority w:val="9"/>
    <w:pPr>
      <w:pBdr/>
      <w:spacing/>
      <w:ind/>
    </w:pPr>
    <w:rPr>
      <w:rFonts w:ascii="Liberation Sans" w:hAnsi="Liberation Sans" w:eastAsia="Liberation Sans" w:cs="Liberation Sans"/>
      <w:sz w:val="34"/>
    </w:rPr>
  </w:style>
  <w:style w:type="character" w:styleId="780" w:customStyle="1">
    <w:name w:val="Заголовок 3 Знак"/>
    <w:link w:val="768"/>
    <w:uiPriority w:val="9"/>
    <w:pPr>
      <w:pBdr/>
      <w:spacing/>
      <w:ind/>
    </w:pPr>
    <w:rPr>
      <w:rFonts w:ascii="Liberation Sans" w:hAnsi="Liberation Sans" w:cs="Liberation Sans"/>
    </w:rPr>
  </w:style>
  <w:style w:type="character" w:styleId="781" w:customStyle="1">
    <w:name w:val="Заголовок 4 Знак"/>
    <w:link w:val="769"/>
    <w:uiPriority w:val="9"/>
    <w:pPr>
      <w:pBdr/>
      <w:spacing/>
      <w:ind/>
    </w:pPr>
    <w:rPr>
      <w:rFonts w:ascii="Liberation Sans" w:hAnsi="Liberation Sans" w:eastAsia="Liberation Sans" w:cs="Liberation Sans"/>
    </w:rPr>
  </w:style>
  <w:style w:type="character" w:styleId="782" w:customStyle="1">
    <w:name w:val="Заголовок 5 Знак"/>
    <w:link w:val="770"/>
    <w:uiPriority w:val="9"/>
    <w:pPr>
      <w:pBdr/>
      <w:spacing/>
      <w:ind/>
    </w:pPr>
    <w:rPr>
      <w:rFonts w:ascii="Liberation Sans" w:hAnsi="Liberation Sans" w:eastAsia="Liberation Sans" w:cs="Liberation Sans"/>
    </w:rPr>
  </w:style>
  <w:style w:type="character" w:styleId="783" w:customStyle="1">
    <w:name w:val="Заголовок 6 Знак"/>
    <w:link w:val="771"/>
    <w:uiPriority w:val="9"/>
    <w:pPr>
      <w:pBdr/>
      <w:spacing/>
      <w:ind/>
    </w:pPr>
    <w:rPr>
      <w:rFonts w:ascii="Liberation Sans" w:hAnsi="Liberation Sans" w:eastAsia="Liberation Sans" w:cs="Liberation Sans"/>
    </w:rPr>
  </w:style>
  <w:style w:type="character" w:styleId="784" w:customStyle="1">
    <w:name w:val="Заголовок 7 Знак"/>
    <w:link w:val="772"/>
    <w:uiPriority w:val="9"/>
    <w:pPr>
      <w:pBdr/>
      <w:spacing/>
      <w:ind/>
    </w:pPr>
    <w:rPr>
      <w:rFonts w:ascii="Liberation Sans" w:hAnsi="Liberation Sans" w:eastAsia="Liberation Sans" w:cs="Liberation Sans"/>
    </w:rPr>
  </w:style>
  <w:style w:type="character" w:styleId="785" w:customStyle="1">
    <w:name w:val="Заголовок 8 Знак"/>
    <w:link w:val="773"/>
    <w:uiPriority w:val="9"/>
    <w:pPr>
      <w:pBdr/>
      <w:spacing/>
      <w:ind/>
    </w:pPr>
    <w:rPr>
      <w:rFonts w:ascii="Liberation Sans" w:hAnsi="Liberation Sans" w:eastAsia="Liberation Sans" w:cs="Liberation Sans"/>
    </w:rPr>
  </w:style>
  <w:style w:type="character" w:styleId="786" w:customStyle="1">
    <w:name w:val="Заголовок 9 Знак"/>
    <w:link w:val="774"/>
    <w:uiPriority w:val="9"/>
    <w:pPr>
      <w:pBdr/>
      <w:spacing/>
      <w:ind/>
    </w:pPr>
    <w:rPr>
      <w:rFonts w:ascii="Liberation Sans" w:hAnsi="Liberation Sans" w:eastAsia="Liberation Sans" w:cs="Liberation Sans"/>
    </w:rPr>
  </w:style>
  <w:style w:type="paragraph" w:styleId="787">
    <w:name w:val="Title"/>
    <w:basedOn w:val="765"/>
    <w:next w:val="765"/>
    <w:link w:val="788"/>
    <w:uiPriority w:val="10"/>
    <w:qFormat/>
    <w:pPr>
      <w:pBdr/>
      <w:spacing w:before="300"/>
      <w:ind/>
      <w:contextualSpacing w:val="true"/>
    </w:pPr>
    <w:rPr>
      <w:sz w:val="48"/>
      <w:szCs w:val="48"/>
    </w:rPr>
  </w:style>
  <w:style w:type="character" w:styleId="788" w:customStyle="1">
    <w:name w:val="Заголовок Знак"/>
    <w:link w:val="787"/>
    <w:uiPriority w:val="10"/>
    <w:pPr>
      <w:pBdr/>
      <w:spacing/>
      <w:ind/>
    </w:pPr>
    <w:rPr>
      <w:sz w:val="48"/>
      <w:szCs w:val="48"/>
    </w:rPr>
  </w:style>
  <w:style w:type="paragraph" w:styleId="789">
    <w:name w:val="Subtitle"/>
    <w:basedOn w:val="765"/>
    <w:next w:val="765"/>
    <w:link w:val="790"/>
    <w:uiPriority w:val="11"/>
    <w:qFormat/>
    <w:pPr>
      <w:pBdr/>
      <w:spacing w:before="200"/>
      <w:ind/>
    </w:pPr>
    <w:rPr>
      <w:sz w:val="24"/>
      <w:szCs w:val="24"/>
    </w:rPr>
  </w:style>
  <w:style w:type="character" w:styleId="790" w:customStyle="1">
    <w:name w:val="Подзаголовок Знак"/>
    <w:link w:val="789"/>
    <w:uiPriority w:val="11"/>
    <w:pPr>
      <w:pBdr/>
      <w:spacing/>
      <w:ind/>
    </w:pPr>
    <w:rPr>
      <w:sz w:val="24"/>
      <w:szCs w:val="24"/>
    </w:rPr>
  </w:style>
  <w:style w:type="paragraph" w:styleId="791">
    <w:name w:val="Quote"/>
    <w:basedOn w:val="765"/>
    <w:next w:val="765"/>
    <w:link w:val="792"/>
    <w:uiPriority w:val="29"/>
    <w:qFormat/>
    <w:pPr>
      <w:pBdr/>
      <w:spacing/>
      <w:ind w:right="720" w:left="720"/>
    </w:pPr>
    <w:rPr>
      <w:i/>
    </w:rPr>
  </w:style>
  <w:style w:type="character" w:styleId="792" w:customStyle="1">
    <w:name w:val="Цитата 2 Знак"/>
    <w:link w:val="791"/>
    <w:uiPriority w:val="29"/>
    <w:pPr>
      <w:pBdr/>
      <w:spacing/>
      <w:ind/>
    </w:pPr>
    <w:rPr>
      <w:i/>
    </w:rPr>
  </w:style>
  <w:style w:type="paragraph" w:styleId="793">
    <w:name w:val="Intense Quote"/>
    <w:basedOn w:val="765"/>
    <w:next w:val="765"/>
    <w:link w:val="794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</w:pPr>
    <w:rPr>
      <w:i/>
    </w:rPr>
  </w:style>
  <w:style w:type="character" w:styleId="794" w:customStyle="1">
    <w:name w:val="Выделенная цитата Знак"/>
    <w:link w:val="793"/>
    <w:uiPriority w:val="30"/>
    <w:pPr>
      <w:pBdr/>
      <w:spacing/>
      <w:ind/>
    </w:pPr>
    <w:rPr>
      <w:i/>
    </w:rPr>
  </w:style>
  <w:style w:type="paragraph" w:styleId="795">
    <w:name w:val="Header"/>
    <w:basedOn w:val="765"/>
    <w:link w:val="796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796" w:customStyle="1">
    <w:name w:val="Верхний колонтитул Знак"/>
    <w:link w:val="795"/>
    <w:uiPriority w:val="99"/>
    <w:pPr>
      <w:pBdr/>
      <w:spacing/>
      <w:ind/>
    </w:pPr>
  </w:style>
  <w:style w:type="paragraph" w:styleId="797">
    <w:name w:val="Footer"/>
    <w:basedOn w:val="765"/>
    <w:link w:val="800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798" w:customStyle="1">
    <w:name w:val="Footer Char"/>
    <w:uiPriority w:val="99"/>
    <w:pPr>
      <w:pBdr/>
      <w:spacing/>
      <w:ind/>
    </w:pPr>
  </w:style>
  <w:style w:type="paragraph" w:styleId="799">
    <w:name w:val="Caption"/>
    <w:basedOn w:val="765"/>
    <w:next w:val="765"/>
    <w:uiPriority w:val="35"/>
    <w:semiHidden/>
    <w:unhideWhenUsed/>
    <w:qFormat/>
    <w:pPr>
      <w:pBdr/>
      <w:spacing/>
      <w:ind/>
    </w:pPr>
    <w:rPr>
      <w:b/>
      <w:bCs/>
      <w:color w:val="5b9bd5" w:themeColor="accent1"/>
      <w:sz w:val="18"/>
      <w:szCs w:val="18"/>
    </w:rPr>
  </w:style>
  <w:style w:type="character" w:styleId="800" w:customStyle="1">
    <w:name w:val="Нижний колонтитул Знак"/>
    <w:link w:val="797"/>
    <w:uiPriority w:val="99"/>
    <w:pPr>
      <w:pBdr/>
      <w:spacing/>
      <w:ind/>
    </w:pPr>
  </w:style>
  <w:style w:type="table" w:styleId="801">
    <w:name w:val="Table Grid"/>
    <w:basedOn w:val="776"/>
    <w:uiPriority w:val="59"/>
    <w:pPr>
      <w:pBdr/>
      <w:spacing w:after="0" w:line="240" w:lineRule="auto"/>
      <w:ind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 w:customStyle="1">
    <w:name w:val="Table Grid Light"/>
    <w:basedOn w:val="776"/>
    <w:uiPriority w:val="59"/>
    <w:pPr>
      <w:pBdr/>
      <w:spacing w:after="0" w:line="240" w:lineRule="auto"/>
      <w:ind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Plain Table 1"/>
    <w:basedOn w:val="776"/>
    <w:uiPriority w:val="59"/>
    <w:pPr>
      <w:pBdr/>
      <w:spacing w:after="0" w:line="240" w:lineRule="auto"/>
      <w:ind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Plain Table 2"/>
    <w:basedOn w:val="776"/>
    <w:uiPriority w:val="59"/>
    <w:pPr>
      <w:pBdr/>
      <w:spacing w:after="0" w:line="240" w:lineRule="auto"/>
      <w:ind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Plain Table 3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Plain Table 4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Plain Table 5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Grid Table 1 Light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 w:customStyle="1">
    <w:name w:val="Grid Table 1 Light - Accent 1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9ec4e6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 w:customStyle="1">
    <w:name w:val="Grid Table 1 Light - Accent 2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 w:customStyle="1">
    <w:name w:val="Grid Table 1 Light - Accent 3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 w:customStyle="1">
    <w:name w:val="Grid Table 1 Light - Accent 4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 w:customStyle="1">
    <w:name w:val="Grid Table 1 Light - Accent 5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91acdc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 w:customStyle="1">
    <w:name w:val="Grid Table 1 Light - Accent 6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Grid Table 2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 w:customStyle="1">
    <w:name w:val="Grid Table 2 - Accent 1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8a2d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68a2d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 w:customStyle="1">
    <w:name w:val="Grid Table 2 - Accent 2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 w:customStyle="1">
    <w:name w:val="Grid Table 2 - Accent 3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 w:customStyle="1">
    <w:name w:val="Grid Table 2 - Accent 4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 w:customStyle="1">
    <w:name w:val="Grid Table 2 - Accent 5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472c4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 w:customStyle="1">
    <w:name w:val="Grid Table 2 - Accent 6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Grid Table 3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 w:customStyle="1">
    <w:name w:val="Grid Table 3 - Accent 1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 w:customStyle="1">
    <w:name w:val="Grid Table 3 - Accent 2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 w:customStyle="1">
    <w:name w:val="Grid Table 3 - Accent 3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 w:customStyle="1">
    <w:name w:val="Grid Table 3 - Accent 4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 w:customStyle="1">
    <w:name w:val="Grid Table 3 - Accent 5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8" w:customStyle="1">
    <w:name w:val="Grid Table 3 - Accent 6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9">
    <w:name w:val="Grid Table 4"/>
    <w:basedOn w:val="776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0" w:customStyle="1">
    <w:name w:val="Grid Table 4 - Accent 1"/>
    <w:basedOn w:val="776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eebf6" w:themeColor="accent1" w:themeTint="32" w:fill="deebf6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eebf6" w:themeColor="accent1" w:themeTint="32" w:fill="deebf6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>
          <w:top w:val="single" w:color="68a2d8" w:themeColor="accent1" w:themeTint="EA" w:sz="4" w:space="0"/>
          <w:left w:val="single" w:color="68a2d8" w:themeColor="accent1" w:themeTint="EA" w:sz="4" w:space="0"/>
          <w:bottom w:val="single" w:color="68a2d8" w:themeColor="accent1" w:themeTint="EA" w:sz="4" w:space="0"/>
          <w:right w:val="single" w:color="68a2d8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68a2d8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1" w:customStyle="1">
    <w:name w:val="Grid Table 4 - Accent 2"/>
    <w:basedOn w:val="776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2" w:customStyle="1">
    <w:name w:val="Grid Table 4 - Accent 3"/>
    <w:basedOn w:val="776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a5a5a5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3" w:customStyle="1">
    <w:name w:val="Grid Table 4 - Accent 4"/>
    <w:basedOn w:val="776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4" w:customStyle="1">
    <w:name w:val="Grid Table 4 - Accent 5"/>
    <w:basedOn w:val="776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4472c4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5" w:customStyle="1">
    <w:name w:val="Grid Table 4 - Accent 6"/>
    <w:basedOn w:val="776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70ad47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6">
    <w:name w:val="Grid Table 5 Dark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8a8a8a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8a8a8a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7" w:customStyle="1">
    <w:name w:val="Grid Table 5 Dark- Accent 1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1" w:themeTint="34" w:fill="ddea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3d0eb" w:themeColor="accent1" w:themeTint="75" w:fill="b3d0eb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3d0eb" w:themeColor="accent1" w:themeTint="75" w:fill="b3d0eb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8" w:customStyle="1">
    <w:name w:val="Grid Table 5 Dark - Accent 2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6c3a0" w:themeColor="accent2" w:themeTint="75" w:fill="f6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6c3a0" w:themeColor="accent2" w:themeTint="75" w:fill="f6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9" w:customStyle="1">
    <w:name w:val="Grid Table 5 Dark - Accent 3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5d5d5" w:themeColor="accent3" w:themeTint="75" w:fill="d5d5d5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d5d5" w:themeColor="accent3" w:themeTint="75" w:fill="d5d5d5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0" w:customStyle="1">
    <w:name w:val="Grid Table 5 Dark- Accent 4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e28a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28a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1" w:customStyle="1">
    <w:name w:val="Grid Table 5 Dark - Accent 5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5" w:themeTint="34" w:fill="d8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9bee4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9bee4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2" w:customStyle="1">
    <w:name w:val="Grid Table 5 Dark - Accent 6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cdba8" w:themeColor="accent6" w:themeTint="75" w:fill="bc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cdba8" w:themeColor="accent6" w:themeTint="75" w:fill="bc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3">
    <w:name w:val="Grid Table 6 Colorful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4" w:customStyle="1">
    <w:name w:val="Grid Table 6 Colorful - Accent 1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cPr>
      <w:tcBorders/>
    </w:tcPr>
    <w:tblStylePr w:type="band1Horz">
      <w:rPr>
        <w:rFonts w:ascii="Arial" w:hAnsi="Arial"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ccce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cccea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acccea" w:themeColor="accent1" w:themeTint="80" w:sz="12" w:space="0"/>
        </w:tcBorders>
      </w:tcPr>
    </w:tblStylePr>
    <w:tblStylePr w:type="lastCol">
      <w:rPr>
        <w:b/>
        <w:color w:val="accce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ccce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5" w:customStyle="1">
    <w:name w:val="Grid Table 6 Colorful - Accent 2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6" w:customStyle="1">
    <w:name w:val="Grid Table 6 Colorful - Accent 3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7" w:customStyle="1">
    <w:name w:val="Grid Table 6 Colorful - Accent 4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8" w:customStyle="1">
    <w:name w:val="Grid Table 6 Colorful - Accent 5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cPr>
      <w:tcBorders/>
    </w:tcPr>
    <w:tblStylePr w:type="band1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4472c4" w:themeColor="accent5" w:sz="12" w:space="0"/>
        </w:tcBorders>
      </w:tcPr>
    </w:tblStylePr>
    <w:tblStylePr w:type="lastCol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9" w:customStyle="1">
    <w:name w:val="Grid Table 6 Colorful - Accent 6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cPr>
      <w:tcBorders/>
    </w:tcPr>
    <w:tblStylePr w:type="band1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0">
    <w:name w:val="Grid Table 7 Colorful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1" w:customStyle="1">
    <w:name w:val="Grid Table 7 Colorful - Accent 1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cPr>
      <w:tcBorders/>
    </w:tcPr>
    <w:tblStylePr w:type="band1Horz">
      <w:rPr>
        <w:rFonts w:ascii="Arial" w:hAnsi="Arial"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cccea" w:themeColor="accent1" w:themeTint="8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cccea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cccea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cccea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2" w:customStyle="1">
    <w:name w:val="Grid Table 7 Colorful - Accent 2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3" w:customStyle="1">
    <w:name w:val="Grid Table 7 Colorful - Accent 3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5a5a5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5a5a5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4" w:customStyle="1">
    <w:name w:val="Grid Table 7 Colorful - Accent 4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5" w:customStyle="1">
    <w:name w:val="Grid Table 7 Colorful - Accent 5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5afdd" w:themeColor="accent5" w:themeTint="9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95afdd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95afdd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6" w:customStyle="1">
    <w:name w:val="Grid Table 7 Colorful - Accent 6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rPr>
        <w:rFonts w:ascii="Arial" w:hAnsi="Arial"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dd394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7">
    <w:name w:val="List Table 1 Light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8" w:customStyle="1">
    <w:name w:val="List Table 1 Light - Accent 1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9" w:customStyle="1">
    <w:name w:val="List Table 1 Light - Accent 2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0" w:customStyle="1">
    <w:name w:val="List Table 1 Light - Accent 3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1" w:customStyle="1">
    <w:name w:val="List Table 1 Light - Accent 4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2" w:customStyle="1">
    <w:name w:val="List Table 1 Light - Accent 5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3" w:customStyle="1">
    <w:name w:val="List Table 1 Light - Accent 6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4">
    <w:name w:val="List Table 2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5" w:customStyle="1">
    <w:name w:val="List Table 2 - Accent 1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6" w:customStyle="1">
    <w:name w:val="List Table 2 - Accent 2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7" w:customStyle="1">
    <w:name w:val="List Table 2 - Accent 3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8" w:customStyle="1">
    <w:name w:val="List Table 2 - Accent 4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9" w:customStyle="1">
    <w:name w:val="List Table 2 - Accent 5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0" w:customStyle="1">
    <w:name w:val="List Table 2 - Accent 6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1">
    <w:name w:val="List Table 3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2" w:customStyle="1">
    <w:name w:val="List Table 3 - Accent 1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3" w:customStyle="1">
    <w:name w:val="List Table 3 - Accent 2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4" w:customStyle="1">
    <w:name w:val="List Table 3 - Accent 3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5" w:customStyle="1">
    <w:name w:val="List Table 3 - Accent 4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6" w:customStyle="1">
    <w:name w:val="List Table 3 - Accent 5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8da9db" w:themeColor="accent5" w:themeTint="9A" w:sz="4" w:space="0"/>
          <w:bottom w:val="single" w:color="8da9db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8da9db" w:themeColor="accent5" w:themeTint="9A" w:sz="4" w:space="0"/>
          <w:right w:val="single" w:color="8da9db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da9db" w:themeColor="accent5" w:themeTint="9A" w:fill="8da9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7" w:customStyle="1">
    <w:name w:val="List Table 3 - Accent 6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8">
    <w:name w:val="List Table 4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9" w:customStyle="1">
    <w:name w:val="List Table 4 - Accent 1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0" w:customStyle="1">
    <w:name w:val="List Table 4 - Accent 2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1" w:customStyle="1">
    <w:name w:val="List Table 4 - Accent 3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2" w:customStyle="1">
    <w:name w:val="List Table 4 - Accent 4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3" w:customStyle="1">
    <w:name w:val="List Table 4 - Accent 5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4" w:customStyle="1">
    <w:name w:val="List Table 4 - Accent 6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5">
    <w:name w:val="List Table 5 Dark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6" w:customStyle="1">
    <w:name w:val="List Table 5 Dark - Accent 1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  <w:shd w:val="clear" w:color="5b9bd5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>
          <w:top w:val="single" w:color="5b9bd5" w:themeColor="accent1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7" w:customStyle="1">
    <w:name w:val="List Table 5 Dark - Accent 2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8" w:customStyle="1">
    <w:name w:val="List Table 5 Dark - Accent 3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9" w:customStyle="1">
    <w:name w:val="List Table 5 Dark - Accent 4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0" w:customStyle="1">
    <w:name w:val="List Table 5 Dark - Accent 5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  <w:shd w:val="clear" w:color="8da9db" w:themeColor="accent5" w:themeTint="9A" w:fill="8da9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8da9db" w:themeColor="accent5" w:themeTint="9A" w:fill="8da9db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8da9db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8da9db" w:themeColor="accent5" w:themeTint="9A" w:fill="8da9db" w:themeFill="accent5" w:themeFillTint="9A"/>
        <w:tcBorders>
          <w:top w:val="single" w:color="8da9db" w:themeColor="accent5" w:themeTint="9A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8da9db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1" w:customStyle="1">
    <w:name w:val="List Table 5 Dark - Accent 6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2">
    <w:name w:val="List Table 6 Colorful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000000" w:themeColor="text1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00000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7f7f7f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3" w:customStyle="1">
    <w:name w:val="List Table 6 Colorful - Accent 1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5b9bd5" w:themeColor="accent1" w:sz="4" w:space="0"/>
        <w:bottom w:val="single" w:color="5b9bd5" w:themeColor="accent1" w:sz="4" w:space="0"/>
      </w:tblBorders>
    </w:tblPr>
    <w:tcPr>
      <w:tcBorders/>
    </w:tcPr>
    <w:tblStylePr w:type="band1Horz">
      <w:rPr>
        <w:rFonts w:ascii="Arial" w:hAnsi="Arial"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2Horz">
      <w:rPr>
        <w:rFonts w:ascii="Arial" w:hAnsi="Arial"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a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a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5b9bd5" w:themeColor="accent1" w:sz="4" w:space="0"/>
        </w:tcBorders>
      </w:tcPr>
    </w:tblStylePr>
    <w:tblStylePr w:type="lastCol">
      <w:rPr>
        <w:b/>
        <w:color w:val="245a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a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5b9bd5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4" w:customStyle="1">
    <w:name w:val="List Table 6 Colorful - Accent 2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5" w:customStyle="1">
    <w:name w:val="List Table 6 Colorful - Accent 3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cPr>
      <w:tcBorders/>
    </w:tcPr>
    <w:tblStylePr w:type="band1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c9c9c9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6" w:customStyle="1">
    <w:name w:val="List Table 6 Colorful - Accent 4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7" w:customStyle="1">
    <w:name w:val="List Table 6 Colorful - Accent 5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8da9db" w:themeColor="accent5" w:themeTint="9A" w:sz="4" w:space="0"/>
        <w:bottom w:val="single" w:color="8da9db" w:themeColor="accent5" w:themeTint="9A" w:sz="4" w:space="0"/>
      </w:tblBorders>
    </w:tblPr>
    <w:tcPr>
      <w:tcBorders/>
    </w:tcPr>
    <w:tblStylePr w:type="band1Horz">
      <w:rPr>
        <w:rFonts w:ascii="Arial" w:hAnsi="Arial"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8da9db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8da9db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8da9db" w:themeColor="accent5" w:themeTint="9A" w:sz="4" w:space="0"/>
        </w:tcBorders>
      </w:tcPr>
    </w:tblStylePr>
    <w:tblStylePr w:type="lastCol">
      <w:rPr>
        <w:b/>
        <w:color w:val="8da9db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8da9db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8da9db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8" w:customStyle="1">
    <w:name w:val="List Table 6 Colorful - Accent 6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cPr>
      <w:tcBorders/>
    </w:tcPr>
    <w:tblStylePr w:type="band1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a9d08e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9">
    <w:name w:val="List Table 7 Colorful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0" w:customStyle="1">
    <w:name w:val="List Table 7 Colorful - Accent 1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5b9bd5" w:themeColor="accent1" w:sz="4" w:space="0"/>
      </w:tblBorders>
    </w:tblPr>
    <w:tcPr>
      <w:tcBorders/>
    </w:tcPr>
    <w:tblStylePr w:type="band1Horz">
      <w:rPr>
        <w:rFonts w:ascii="Arial" w:hAnsi="Arial"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2Horz">
      <w:rPr>
        <w:rFonts w:ascii="Arial" w:hAnsi="Arial"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5b9bd5" w:themeColor="accent1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5b9bd5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1" w:customStyle="1">
    <w:name w:val="List Table 7 Colorful - Accent 2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2" w:customStyle="1">
    <w:name w:val="List Table 7 Colorful - Accent 3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c9c9c9" w:themeColor="accent3" w:themeTint="98" w:sz="4" w:space="0"/>
      </w:tblBorders>
    </w:tblPr>
    <w:tcPr>
      <w:tcBorders/>
    </w:tcPr>
    <w:tblStylePr w:type="band1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9c9c9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c9c9c9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3" w:customStyle="1">
    <w:name w:val="List Table 7 Colorful - Accent 4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4" w:customStyle="1">
    <w:name w:val="List Table 7 Colorful - Accent 5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8da9db" w:themeColor="accent5" w:themeTint="9A" w:sz="4" w:space="0"/>
      </w:tblBorders>
    </w:tblPr>
    <w:tcPr>
      <w:tcBorders/>
    </w:tcPr>
    <w:tblStylePr w:type="band1Horz">
      <w:rPr>
        <w:rFonts w:ascii="Arial" w:hAnsi="Arial"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8da9db" w:themeColor="accent5" w:themeTint="9A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8da9db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8da9db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8da9db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5" w:customStyle="1">
    <w:name w:val="List Table 7 Colorful - Accent 6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a9d08e" w:themeColor="accent6" w:themeTint="98" w:sz="4" w:space="0"/>
      </w:tblBorders>
    </w:tblPr>
    <w:tcPr>
      <w:tcBorders/>
    </w:tcPr>
    <w:tblStylePr w:type="band1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9d08e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9d08e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6" w:customStyle="1">
    <w:name w:val="Lined - Accent"/>
    <w:basedOn w:val="776"/>
    <w:uiPriority w:val="99"/>
    <w:pPr>
      <w:pBdr/>
      <w:spacing w:after="0" w:line="240" w:lineRule="auto"/>
      <w:ind/>
    </w:pPr>
    <w:rPr>
      <w:color w:val="404040"/>
      <w:sz w:val="20"/>
      <w:szCs w:val="20"/>
      <w:lang w:eastAsia="ru-RU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7" w:customStyle="1">
    <w:name w:val="Lined - Accent 1"/>
    <w:basedOn w:val="776"/>
    <w:uiPriority w:val="99"/>
    <w:pPr>
      <w:pBdr/>
      <w:spacing w:after="0" w:line="240" w:lineRule="auto"/>
      <w:ind/>
    </w:pPr>
    <w:rPr>
      <w:color w:val="404040"/>
      <w:sz w:val="20"/>
      <w:szCs w:val="20"/>
      <w:lang w:eastAsia="ru-RU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dff1" w:themeColor="accent1" w:themeTint="50" w:fill="cbdff1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dff1" w:themeColor="accent1" w:themeTint="50" w:fill="cbdff1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8" w:customStyle="1">
    <w:name w:val="Lined - Accent 2"/>
    <w:basedOn w:val="776"/>
    <w:uiPriority w:val="99"/>
    <w:pPr>
      <w:pBdr/>
      <w:spacing w:after="0" w:line="240" w:lineRule="auto"/>
      <w:ind/>
    </w:pPr>
    <w:rPr>
      <w:color w:val="404040"/>
      <w:sz w:val="20"/>
      <w:szCs w:val="20"/>
      <w:lang w:eastAsia="ru-RU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9" w:customStyle="1">
    <w:name w:val="Lined - Accent 3"/>
    <w:basedOn w:val="776"/>
    <w:uiPriority w:val="99"/>
    <w:pPr>
      <w:pBdr/>
      <w:spacing w:after="0" w:line="240" w:lineRule="auto"/>
      <w:ind/>
    </w:pPr>
    <w:rPr>
      <w:color w:val="404040"/>
      <w:sz w:val="20"/>
      <w:szCs w:val="20"/>
      <w:lang w:eastAsia="ru-RU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0" w:customStyle="1">
    <w:name w:val="Lined - Accent 4"/>
    <w:basedOn w:val="776"/>
    <w:uiPriority w:val="99"/>
    <w:pPr>
      <w:pBdr/>
      <w:spacing w:after="0" w:line="240" w:lineRule="auto"/>
      <w:ind/>
    </w:pPr>
    <w:rPr>
      <w:color w:val="404040"/>
      <w:sz w:val="20"/>
      <w:szCs w:val="20"/>
      <w:lang w:eastAsia="ru-RU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1" w:customStyle="1">
    <w:name w:val="Lined - Accent 5"/>
    <w:basedOn w:val="776"/>
    <w:uiPriority w:val="99"/>
    <w:pPr>
      <w:pBdr/>
      <w:spacing w:after="0" w:line="240" w:lineRule="auto"/>
      <w:ind/>
    </w:pPr>
    <w:rPr>
      <w:color w:val="404040"/>
      <w:sz w:val="20"/>
      <w:szCs w:val="20"/>
      <w:lang w:eastAsia="ru-RU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2" w:customStyle="1">
    <w:name w:val="Lined - Accent 6"/>
    <w:basedOn w:val="776"/>
    <w:uiPriority w:val="99"/>
    <w:pPr>
      <w:pBdr/>
      <w:spacing w:after="0" w:line="240" w:lineRule="auto"/>
      <w:ind/>
    </w:pPr>
    <w:rPr>
      <w:color w:val="404040"/>
      <w:sz w:val="20"/>
      <w:szCs w:val="20"/>
      <w:lang w:eastAsia="ru-RU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3" w:customStyle="1">
    <w:name w:val="Bordered &amp; Lined - Accent"/>
    <w:basedOn w:val="776"/>
    <w:uiPriority w:val="99"/>
    <w:pPr>
      <w:pBdr/>
      <w:spacing w:after="0" w:line="240" w:lineRule="auto"/>
      <w:ind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4" w:customStyle="1">
    <w:name w:val="Bordered &amp; Lined - Accent 1"/>
    <w:basedOn w:val="776"/>
    <w:uiPriority w:val="99"/>
    <w:pPr>
      <w:pBdr/>
      <w:spacing w:after="0" w:line="240" w:lineRule="auto"/>
      <w:ind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45a8d" w:themeColor="accent1" w:themeShade="95" w:sz="4" w:space="0"/>
        <w:left w:val="single" w:color="245a8d" w:themeColor="accent1" w:themeShade="95" w:sz="4" w:space="0"/>
        <w:bottom w:val="single" w:color="245a8d" w:themeColor="accent1" w:themeShade="95" w:sz="4" w:space="0"/>
        <w:right w:val="single" w:color="245a8d" w:themeColor="accent1" w:themeShade="95" w:sz="4" w:space="0"/>
        <w:insideH w:val="single" w:color="245a8d" w:themeColor="accent1" w:themeShade="95" w:sz="4" w:space="0"/>
        <w:insideV w:val="single" w:color="245a8d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dff1" w:themeColor="accent1" w:themeTint="50" w:fill="cbdff1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dff1" w:themeColor="accent1" w:themeTint="50" w:fill="cbdff1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5" w:customStyle="1">
    <w:name w:val="Bordered &amp; Lined - Accent 2"/>
    <w:basedOn w:val="776"/>
    <w:uiPriority w:val="99"/>
    <w:pPr>
      <w:pBdr/>
      <w:spacing w:after="0" w:line="240" w:lineRule="auto"/>
      <w:ind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6" w:customStyle="1">
    <w:name w:val="Bordered &amp; Lined - Accent 3"/>
    <w:basedOn w:val="776"/>
    <w:uiPriority w:val="99"/>
    <w:pPr>
      <w:pBdr/>
      <w:spacing w:after="0" w:line="240" w:lineRule="auto"/>
      <w:ind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7" w:customStyle="1">
    <w:name w:val="Bordered &amp; Lined - Accent 4"/>
    <w:basedOn w:val="776"/>
    <w:uiPriority w:val="99"/>
    <w:pPr>
      <w:pBdr/>
      <w:spacing w:after="0" w:line="240" w:lineRule="auto"/>
      <w:ind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8" w:customStyle="1">
    <w:name w:val="Bordered &amp; Lined - Accent 5"/>
    <w:basedOn w:val="776"/>
    <w:uiPriority w:val="99"/>
    <w:pPr>
      <w:pBdr/>
      <w:spacing w:after="0" w:line="240" w:lineRule="auto"/>
      <w:ind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54175" w:themeColor="accent5" w:themeShade="95" w:sz="4" w:space="0"/>
        <w:left w:val="single" w:color="254175" w:themeColor="accent5" w:themeShade="95" w:sz="4" w:space="0"/>
        <w:bottom w:val="single" w:color="254175" w:themeColor="accent5" w:themeShade="95" w:sz="4" w:space="0"/>
        <w:right w:val="single" w:color="254175" w:themeColor="accent5" w:themeShade="95" w:sz="4" w:space="0"/>
        <w:insideH w:val="single" w:color="254175" w:themeColor="accent5" w:themeShade="95" w:sz="4" w:space="0"/>
        <w:insideV w:val="single" w:color="254175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9" w:customStyle="1">
    <w:name w:val="Bordered &amp; Lined - Accent 6"/>
    <w:basedOn w:val="776"/>
    <w:uiPriority w:val="99"/>
    <w:pPr>
      <w:pBdr/>
      <w:spacing w:after="0" w:line="240" w:lineRule="auto"/>
      <w:ind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0" w:customStyle="1">
    <w:name w:val="Bordered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7f7f7f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1" w:customStyle="1">
    <w:name w:val="Bordered - Accent 1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5b9bd5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5b9bd5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5b9bd5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2" w:customStyle="1">
    <w:name w:val="Bordered - Accent 2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3" w:customStyle="1">
    <w:name w:val="Bordered - Accent 3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9c9c9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4" w:customStyle="1">
    <w:name w:val="Bordered - Accent 4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5" w:customStyle="1">
    <w:name w:val="Bordered - Accent 5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8da9db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8da9db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8da9db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6" w:customStyle="1">
    <w:name w:val="Bordered - Accent 6"/>
    <w:basedOn w:val="77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9d08e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927">
    <w:name w:val="Hyperlink"/>
    <w:uiPriority w:val="99"/>
    <w:unhideWhenUsed/>
    <w:pPr>
      <w:pBdr/>
      <w:spacing/>
      <w:ind/>
    </w:pPr>
    <w:rPr>
      <w:color w:val="0563c1" w:themeColor="hyperlink"/>
      <w:u w:val="single"/>
    </w:rPr>
  </w:style>
  <w:style w:type="paragraph" w:styleId="928">
    <w:name w:val="footnote text"/>
    <w:basedOn w:val="765"/>
    <w:link w:val="929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929" w:customStyle="1">
    <w:name w:val="Текст сноски Знак"/>
    <w:link w:val="928"/>
    <w:uiPriority w:val="99"/>
    <w:pPr>
      <w:pBdr/>
      <w:spacing/>
      <w:ind/>
    </w:pPr>
    <w:rPr>
      <w:sz w:val="18"/>
    </w:rPr>
  </w:style>
  <w:style w:type="character" w:styleId="930">
    <w:name w:val="footnote reference"/>
    <w:uiPriority w:val="99"/>
    <w:unhideWhenUsed/>
    <w:pPr>
      <w:pBdr/>
      <w:spacing/>
      <w:ind/>
    </w:pPr>
    <w:rPr>
      <w:vertAlign w:val="superscript"/>
    </w:rPr>
  </w:style>
  <w:style w:type="paragraph" w:styleId="931">
    <w:name w:val="endnote text"/>
    <w:basedOn w:val="765"/>
    <w:link w:val="932"/>
    <w:uiPriority w:val="99"/>
    <w:semiHidden/>
    <w:unhideWhenUsed/>
    <w:pPr>
      <w:pBdr/>
      <w:spacing w:after="0" w:line="240" w:lineRule="auto"/>
      <w:ind/>
    </w:pPr>
  </w:style>
  <w:style w:type="character" w:styleId="932" w:customStyle="1">
    <w:name w:val="Текст концевой сноски Знак"/>
    <w:link w:val="931"/>
    <w:uiPriority w:val="99"/>
    <w:pPr>
      <w:pBdr/>
      <w:spacing/>
      <w:ind/>
    </w:pPr>
    <w:rPr>
      <w:sz w:val="20"/>
    </w:rPr>
  </w:style>
  <w:style w:type="character" w:styleId="933">
    <w:name w:val="endnote reference"/>
    <w:uiPriority w:val="99"/>
    <w:semiHidden/>
    <w:unhideWhenUsed/>
    <w:pPr>
      <w:pBdr/>
      <w:spacing/>
      <w:ind/>
    </w:pPr>
    <w:rPr>
      <w:vertAlign w:val="superscript"/>
    </w:rPr>
  </w:style>
  <w:style w:type="paragraph" w:styleId="934">
    <w:name w:val="toc 1"/>
    <w:basedOn w:val="765"/>
    <w:next w:val="765"/>
    <w:uiPriority w:val="39"/>
    <w:unhideWhenUsed/>
    <w:pPr>
      <w:pBdr/>
      <w:spacing w:after="57"/>
      <w:ind/>
    </w:pPr>
  </w:style>
  <w:style w:type="paragraph" w:styleId="935">
    <w:name w:val="toc 2"/>
    <w:basedOn w:val="765"/>
    <w:next w:val="765"/>
    <w:uiPriority w:val="39"/>
    <w:unhideWhenUsed/>
    <w:pPr>
      <w:pBdr/>
      <w:spacing w:after="57"/>
      <w:ind w:left="283"/>
    </w:pPr>
  </w:style>
  <w:style w:type="paragraph" w:styleId="936">
    <w:name w:val="toc 3"/>
    <w:basedOn w:val="765"/>
    <w:next w:val="765"/>
    <w:uiPriority w:val="39"/>
    <w:unhideWhenUsed/>
    <w:pPr>
      <w:pBdr/>
      <w:spacing w:after="57"/>
      <w:ind w:left="567"/>
    </w:pPr>
  </w:style>
  <w:style w:type="paragraph" w:styleId="937">
    <w:name w:val="toc 4"/>
    <w:basedOn w:val="765"/>
    <w:next w:val="765"/>
    <w:uiPriority w:val="39"/>
    <w:unhideWhenUsed/>
    <w:pPr>
      <w:pBdr/>
      <w:spacing w:after="57"/>
      <w:ind w:left="850"/>
    </w:pPr>
  </w:style>
  <w:style w:type="paragraph" w:styleId="938">
    <w:name w:val="toc 5"/>
    <w:basedOn w:val="765"/>
    <w:next w:val="765"/>
    <w:uiPriority w:val="39"/>
    <w:unhideWhenUsed/>
    <w:pPr>
      <w:pBdr/>
      <w:spacing w:after="57"/>
      <w:ind w:left="1134"/>
    </w:pPr>
  </w:style>
  <w:style w:type="paragraph" w:styleId="939">
    <w:name w:val="toc 6"/>
    <w:basedOn w:val="765"/>
    <w:next w:val="765"/>
    <w:uiPriority w:val="39"/>
    <w:unhideWhenUsed/>
    <w:pPr>
      <w:pBdr/>
      <w:spacing w:after="57"/>
      <w:ind w:left="1417"/>
    </w:pPr>
  </w:style>
  <w:style w:type="paragraph" w:styleId="940">
    <w:name w:val="toc 7"/>
    <w:basedOn w:val="765"/>
    <w:next w:val="765"/>
    <w:uiPriority w:val="39"/>
    <w:unhideWhenUsed/>
    <w:pPr>
      <w:pBdr/>
      <w:spacing w:after="57"/>
      <w:ind w:left="1701"/>
    </w:pPr>
  </w:style>
  <w:style w:type="paragraph" w:styleId="941">
    <w:name w:val="toc 8"/>
    <w:basedOn w:val="765"/>
    <w:next w:val="765"/>
    <w:uiPriority w:val="39"/>
    <w:unhideWhenUsed/>
    <w:pPr>
      <w:pBdr/>
      <w:spacing w:after="57"/>
      <w:ind w:left="1984"/>
    </w:pPr>
  </w:style>
  <w:style w:type="paragraph" w:styleId="942">
    <w:name w:val="toc 9"/>
    <w:basedOn w:val="765"/>
    <w:next w:val="765"/>
    <w:uiPriority w:val="39"/>
    <w:unhideWhenUsed/>
    <w:pPr>
      <w:pBdr/>
      <w:spacing w:after="57"/>
      <w:ind w:left="2268"/>
    </w:pPr>
  </w:style>
  <w:style w:type="paragraph" w:styleId="943">
    <w:name w:val="TOC Heading"/>
    <w:uiPriority w:val="39"/>
    <w:unhideWhenUsed/>
    <w:pPr>
      <w:pBdr/>
      <w:spacing/>
      <w:ind/>
    </w:pPr>
  </w:style>
  <w:style w:type="paragraph" w:styleId="944">
    <w:name w:val="table of figures"/>
    <w:basedOn w:val="765"/>
    <w:next w:val="765"/>
    <w:uiPriority w:val="99"/>
    <w:unhideWhenUsed/>
    <w:pPr>
      <w:pBdr/>
      <w:spacing w:after="0"/>
      <w:ind/>
    </w:pPr>
  </w:style>
  <w:style w:type="paragraph" w:styleId="945">
    <w:name w:val="No Spacing"/>
    <w:basedOn w:val="765"/>
    <w:uiPriority w:val="1"/>
    <w:qFormat/>
    <w:pPr>
      <w:pBdr/>
      <w:spacing w:after="0" w:line="240" w:lineRule="auto"/>
      <w:ind/>
    </w:pPr>
  </w:style>
  <w:style w:type="paragraph" w:styleId="946">
    <w:name w:val="List Paragraph"/>
    <w:basedOn w:val="765"/>
    <w:uiPriority w:val="34"/>
    <w:qFormat/>
    <w:pPr>
      <w:pBdr/>
      <w:spacing/>
      <w:ind w:left="720"/>
      <w:contextualSpacing w:val="true"/>
    </w:pPr>
  </w:style>
  <w:style w:type="table" w:styleId="947" w:customStyle="1">
    <w:name w:val="Сетка таблицы светлая1"/>
    <w:uiPriority w:val="40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after="0" w:line="240" w:lineRule="auto"/>
      <w:ind/>
    </w:pPr>
    <w:rPr>
      <w:rFonts w:ascii="Times New Roman" w:hAnsi="Times New Roman" w:eastAsia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  <w:tcW w:w="0" w:type="auto"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948" w:customStyle="1">
    <w:name w:val="Главный"/>
    <w:qFormat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after="0"/>
      <w:ind w:firstLine="720"/>
      <w:jc w:val="both"/>
    </w:pPr>
    <w:rPr>
      <w:rFonts w:ascii="Times New Roman" w:hAnsi="Times New Roman" w:eastAsia="Times New Roman" w:cs="Times New Roman"/>
      <w:sz w:val="24"/>
      <w:szCs w:val="24"/>
    </w:rPr>
  </w:style>
  <w:style w:type="character" w:styleId="949">
    <w:name w:val="annotation reference"/>
    <w:basedOn w:val="775"/>
    <w:uiPriority w:val="99"/>
    <w:semiHidden/>
    <w:unhideWhenUsed/>
    <w:pPr>
      <w:pBdr/>
      <w:spacing/>
      <w:ind/>
    </w:pPr>
    <w:rPr>
      <w:sz w:val="16"/>
      <w:szCs w:val="16"/>
    </w:rPr>
  </w:style>
  <w:style w:type="paragraph" w:styleId="950">
    <w:name w:val="annotation text"/>
    <w:basedOn w:val="765"/>
    <w:link w:val="951"/>
    <w:uiPriority w:val="99"/>
    <w:semiHidden/>
    <w:unhideWhenUsed/>
    <w:pPr>
      <w:pBdr/>
      <w:spacing w:line="240" w:lineRule="auto"/>
      <w:ind/>
    </w:pPr>
  </w:style>
  <w:style w:type="character" w:styleId="951" w:customStyle="1">
    <w:name w:val="Текст примечания Знак"/>
    <w:basedOn w:val="775"/>
    <w:link w:val="950"/>
    <w:uiPriority w:val="99"/>
    <w:semiHidden/>
    <w:pPr>
      <w:pBdr/>
      <w:spacing/>
      <w:ind/>
    </w:pPr>
    <w:rPr>
      <w:rFonts w:ascii="Liberation Sans" w:hAnsi="Liberation Sans" w:eastAsia="Liberation Sans" w:cs="Liberation Sans"/>
      <w:sz w:val="20"/>
      <w:szCs w:val="20"/>
    </w:rPr>
  </w:style>
  <w:style w:type="paragraph" w:styleId="952">
    <w:name w:val="annotation subject"/>
    <w:basedOn w:val="950"/>
    <w:next w:val="950"/>
    <w:link w:val="953"/>
    <w:uiPriority w:val="99"/>
    <w:semiHidden/>
    <w:unhideWhenUsed/>
    <w:pPr>
      <w:pBdr/>
      <w:spacing/>
      <w:ind/>
    </w:pPr>
    <w:rPr>
      <w:b/>
      <w:bCs/>
    </w:rPr>
  </w:style>
  <w:style w:type="character" w:styleId="953" w:customStyle="1">
    <w:name w:val="Тема примечания Знак"/>
    <w:basedOn w:val="951"/>
    <w:link w:val="952"/>
    <w:uiPriority w:val="99"/>
    <w:semiHidden/>
    <w:pPr>
      <w:pBdr/>
      <w:spacing/>
      <w:ind/>
    </w:pPr>
    <w:rPr>
      <w:rFonts w:ascii="Liberation Sans" w:hAnsi="Liberation Sans" w:eastAsia="Liberation Sans" w:cs="Liberation Sans"/>
      <w:b/>
      <w:bCs/>
      <w:sz w:val="20"/>
      <w:szCs w:val="20"/>
    </w:rPr>
  </w:style>
  <w:style w:type="paragraph" w:styleId="954">
    <w:name w:val="Balloon Text"/>
    <w:basedOn w:val="765"/>
    <w:link w:val="955"/>
    <w:uiPriority w:val="99"/>
    <w:semiHidden/>
    <w:unhideWhenUsed/>
    <w:pPr>
      <w:pBdr/>
      <w:spacing w:after="0" w:line="240" w:lineRule="auto"/>
      <w:ind/>
    </w:pPr>
    <w:rPr>
      <w:rFonts w:ascii="Segoe UI" w:hAnsi="Segoe UI" w:cs="Segoe UI"/>
      <w:sz w:val="18"/>
      <w:szCs w:val="18"/>
    </w:rPr>
  </w:style>
  <w:style w:type="character" w:styleId="955" w:customStyle="1">
    <w:name w:val="Текст выноски Знак"/>
    <w:basedOn w:val="775"/>
    <w:link w:val="954"/>
    <w:uiPriority w:val="99"/>
    <w:semiHidden/>
    <w:pPr>
      <w:pBdr/>
      <w:spacing/>
      <w:ind/>
    </w:pPr>
    <w:rPr>
      <w:rFonts w:ascii="Segoe UI" w:hAnsi="Segoe UI" w:eastAsia="Liberation Sans" w:cs="Segoe UI"/>
      <w:sz w:val="18"/>
      <w:szCs w:val="1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glossaryDocument" Target="glossary/document.xml" /><Relationship Id="rId7" Type="http://schemas.openxmlformats.org/officeDocument/2006/relationships/numbering" Target="numbering.xml" /><Relationship Id="rId8" Type="http://schemas.openxmlformats.org/officeDocument/2006/relationships/footnotes" Target="footnotes.xml" /><Relationship Id="rId9" Type="http://schemas.openxmlformats.org/officeDocument/2006/relationships/endnotes" Target="endnotes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header" Target="header3.xml" /><Relationship Id="rId13" Type="http://schemas.openxmlformats.org/officeDocument/2006/relationships/footer" Target="footer1.xml" /><Relationship Id="rId14" Type="http://schemas.openxmlformats.org/officeDocument/2006/relationships/footer" Target="footer2.xml" /><Relationship Id="rId15" Type="http://schemas.openxmlformats.org/officeDocument/2006/relationships/footer" Target="footer3.xml" /><Relationship Id="rId16" Type="http://schemas.openxmlformats.org/officeDocument/2006/relationships/image" Target="media/image1.png"/><Relationship Id="rId17" Type="http://schemas.openxmlformats.org/officeDocument/2006/relationships/image" Target="media/image2.png"/><Relationship Id="rId18" Type="http://schemas.openxmlformats.org/officeDocument/2006/relationships/image" Target="media/image3.png"/><Relationship Id="rId19" Type="http://schemas.openxmlformats.org/officeDocument/2006/relationships/image" Target="media/image4.png"/><Relationship Id="rId20" Type="http://schemas.openxmlformats.org/officeDocument/2006/relationships/image" Target="media/image5.png"/><Relationship Id="rId21" Type="http://schemas.openxmlformats.org/officeDocument/2006/relationships/image" Target="media/image6.png"/><Relationship Id="rId22" Type="http://schemas.openxmlformats.org/officeDocument/2006/relationships/image" Target="media/image7.png"/><Relationship Id="rId23" Type="http://schemas.openxmlformats.org/officeDocument/2006/relationships/image" Target="media/image8.png"/><Relationship Id="rId24" Type="http://schemas.openxmlformats.org/officeDocument/2006/relationships/image" Target="media/image9.png"/><Relationship Id="rId25" Type="http://schemas.openxmlformats.org/officeDocument/2006/relationships/image" Target="media/image10.png"/><Relationship Id="rId26" Type="http://schemas.openxmlformats.org/officeDocument/2006/relationships/image" Target="media/image11.png"/><Relationship Id="rId27" Type="http://schemas.openxmlformats.org/officeDocument/2006/relationships/image" Target="media/image12.png"/><Relationship Id="rId28" Type="http://schemas.openxmlformats.org/officeDocument/2006/relationships/image" Target="media/image13.png"/><Relationship Id="rId29" Type="http://schemas.openxmlformats.org/officeDocument/2006/relationships/image" Target="media/image14.png"/><Relationship Id="rId30" Type="http://schemas.openxmlformats.org/officeDocument/2006/relationships/image" Target="media/image15.png"/><Relationship Id="rId31" Type="http://schemas.openxmlformats.org/officeDocument/2006/relationships/image" Target="media/image16.png"/><Relationship Id="rId32" Type="http://schemas.openxmlformats.org/officeDocument/2006/relationships/image" Target="media/image17.png"/><Relationship Id="rId33" Type="http://schemas.openxmlformats.org/officeDocument/2006/relationships/image" Target="media/image18.png"/><Relationship Id="rId34" Type="http://schemas.openxmlformats.org/officeDocument/2006/relationships/hyperlink" Target="https://doi.org/10.31857/s0006302922020181.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glossary/_rels/comments.xml.rels><?xml version="1.0" encoding="UTF-8" standalone="yes"?><Relationships xmlns="http://schemas.openxmlformats.org/package/2006/relationships"></Relationships>
</file>

<file path=word/glossary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footnotes" Target="footnotes.xml" /><Relationship Id="rId6" Type="http://schemas.openxmlformats.org/officeDocument/2006/relationships/endnotes" Target="endnotes.xml" /></Relationships>
</file>

<file path=word/glossary/_rels/endnotes.xml.rels><?xml version="1.0" encoding="UTF-8" standalone="yes"?><Relationships xmlns="http://schemas.openxmlformats.org/package/2006/relationships"></Relationships>
</file>

<file path=word/glossary/_rels/footnotes.xml.rels><?xml version="1.0" encoding="UTF-8" standalone="yes"?><Relationships xmlns="http://schemas.openxmlformats.org/package/2006/relationships"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docParts>
    <w:docPart>
      <w:docPartPr>
        <w:name w:val="DefaultPlaceholder_TEXT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Введите ваш текст</w:t>
          </w:r>
          <w:r/>
          <w:r/>
        </w:p>
      </w:docPartBody>
    </w:docPart>
  </w:docParts>
</w:glossaryDocument>
</file>

<file path=word/glossary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glossary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88" w:default="1">
    <w:name w:val="Normal"/>
    <w:qFormat/>
    <w:pPr>
      <w:pBdr/>
      <w:spacing/>
      <w:ind/>
    </w:pPr>
  </w:style>
  <w:style w:type="character" w:styleId="1389" w:default="1">
    <w:name w:val="Default Paragraph Font"/>
    <w:uiPriority w:val="1"/>
    <w:semiHidden/>
    <w:unhideWhenUsed/>
    <w:pPr>
      <w:pBdr/>
      <w:spacing/>
      <w:ind/>
    </w:pPr>
  </w:style>
  <w:style w:type="numbering" w:styleId="1390" w:default="1">
    <w:name w:val="No List"/>
    <w:uiPriority w:val="99"/>
    <w:semiHidden/>
    <w:unhideWhenUsed/>
    <w:pPr>
      <w:pBdr/>
      <w:spacing/>
      <w:ind/>
    </w:pPr>
  </w:style>
  <w:style w:type="paragraph" w:styleId="1391">
    <w:name w:val="Heading 1"/>
    <w:basedOn w:val="1388"/>
    <w:next w:val="1388"/>
    <w:link w:val="1392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1392">
    <w:name w:val="Heading 1 Char"/>
    <w:basedOn w:val="1389"/>
    <w:link w:val="1391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1393">
    <w:name w:val="Heading 2"/>
    <w:basedOn w:val="1388"/>
    <w:next w:val="1388"/>
    <w:link w:val="1394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1394">
    <w:name w:val="Heading 2 Char"/>
    <w:basedOn w:val="1389"/>
    <w:link w:val="1393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1395">
    <w:name w:val="Heading 3"/>
    <w:basedOn w:val="1388"/>
    <w:next w:val="1388"/>
    <w:link w:val="1396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1396">
    <w:name w:val="Heading 3 Char"/>
    <w:basedOn w:val="1389"/>
    <w:link w:val="1395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1397">
    <w:name w:val="Heading 4"/>
    <w:basedOn w:val="1388"/>
    <w:next w:val="1388"/>
    <w:link w:val="1398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398">
    <w:name w:val="Heading 4 Char"/>
    <w:basedOn w:val="1389"/>
    <w:link w:val="1397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1399">
    <w:name w:val="Heading 5"/>
    <w:basedOn w:val="1388"/>
    <w:next w:val="1388"/>
    <w:link w:val="1400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1400">
    <w:name w:val="Heading 5 Char"/>
    <w:basedOn w:val="1389"/>
    <w:link w:val="1399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1401">
    <w:name w:val="Heading 6"/>
    <w:basedOn w:val="1388"/>
    <w:next w:val="1388"/>
    <w:link w:val="1402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1402">
    <w:name w:val="Heading 6 Char"/>
    <w:basedOn w:val="1389"/>
    <w:link w:val="1401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1403">
    <w:name w:val="Heading 7"/>
    <w:basedOn w:val="1388"/>
    <w:next w:val="1388"/>
    <w:link w:val="1404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1404">
    <w:name w:val="Heading 7 Char"/>
    <w:basedOn w:val="1389"/>
    <w:link w:val="1403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1405">
    <w:name w:val="Heading 8"/>
    <w:basedOn w:val="1388"/>
    <w:next w:val="1388"/>
    <w:link w:val="1406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1406">
    <w:name w:val="Heading 8 Char"/>
    <w:basedOn w:val="1389"/>
    <w:link w:val="1405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1407">
    <w:name w:val="Heading 9"/>
    <w:basedOn w:val="1388"/>
    <w:next w:val="1388"/>
    <w:link w:val="1408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1408">
    <w:name w:val="Heading 9 Char"/>
    <w:basedOn w:val="1389"/>
    <w:link w:val="1407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1409">
    <w:name w:val="List Paragraph"/>
    <w:basedOn w:val="1388"/>
    <w:uiPriority w:val="34"/>
    <w:qFormat/>
    <w:pPr>
      <w:pBdr/>
      <w:spacing/>
      <w:ind w:left="720"/>
      <w:contextualSpacing w:val="true"/>
    </w:pPr>
  </w:style>
  <w:style w:type="table" w:styleId="1410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411">
    <w:name w:val="No Spacing"/>
    <w:uiPriority w:val="1"/>
    <w:qFormat/>
    <w:pPr>
      <w:pBdr/>
      <w:spacing w:after="0" w:before="0" w:line="240" w:lineRule="auto"/>
      <w:ind/>
    </w:pPr>
  </w:style>
  <w:style w:type="paragraph" w:styleId="1412">
    <w:name w:val="Title"/>
    <w:basedOn w:val="1388"/>
    <w:next w:val="1388"/>
    <w:link w:val="1413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1413">
    <w:name w:val="Title Char"/>
    <w:basedOn w:val="1389"/>
    <w:link w:val="1412"/>
    <w:uiPriority w:val="10"/>
    <w:pPr>
      <w:pBdr/>
      <w:spacing/>
      <w:ind/>
    </w:pPr>
    <w:rPr>
      <w:sz w:val="48"/>
      <w:szCs w:val="48"/>
    </w:rPr>
  </w:style>
  <w:style w:type="paragraph" w:styleId="1414">
    <w:name w:val="Subtitle"/>
    <w:basedOn w:val="1388"/>
    <w:next w:val="1388"/>
    <w:link w:val="1415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1415">
    <w:name w:val="Subtitle Char"/>
    <w:basedOn w:val="1389"/>
    <w:link w:val="1414"/>
    <w:uiPriority w:val="11"/>
    <w:pPr>
      <w:pBdr/>
      <w:spacing/>
      <w:ind/>
    </w:pPr>
    <w:rPr>
      <w:sz w:val="24"/>
      <w:szCs w:val="24"/>
    </w:rPr>
  </w:style>
  <w:style w:type="paragraph" w:styleId="1416">
    <w:name w:val="Quote"/>
    <w:basedOn w:val="1388"/>
    <w:next w:val="1388"/>
    <w:link w:val="1417"/>
    <w:uiPriority w:val="29"/>
    <w:qFormat/>
    <w:pPr>
      <w:pBdr/>
      <w:spacing/>
      <w:ind w:right="720" w:left="720"/>
    </w:pPr>
    <w:rPr>
      <w:i/>
    </w:rPr>
  </w:style>
  <w:style w:type="character" w:styleId="1417">
    <w:name w:val="Quote Char"/>
    <w:link w:val="1416"/>
    <w:uiPriority w:val="29"/>
    <w:pPr>
      <w:pBdr/>
      <w:spacing/>
      <w:ind/>
    </w:pPr>
    <w:rPr>
      <w:i/>
    </w:rPr>
  </w:style>
  <w:style w:type="paragraph" w:styleId="1418">
    <w:name w:val="Intense Quote"/>
    <w:basedOn w:val="1388"/>
    <w:next w:val="1388"/>
    <w:link w:val="1419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1419">
    <w:name w:val="Intense Quote Char"/>
    <w:link w:val="1418"/>
    <w:uiPriority w:val="30"/>
    <w:pPr>
      <w:pBdr/>
      <w:spacing/>
      <w:ind/>
    </w:pPr>
    <w:rPr>
      <w:i/>
    </w:rPr>
  </w:style>
  <w:style w:type="paragraph" w:styleId="1420">
    <w:name w:val="Header"/>
    <w:basedOn w:val="1388"/>
    <w:link w:val="1421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1421">
    <w:name w:val="Header Char"/>
    <w:basedOn w:val="1389"/>
    <w:link w:val="1420"/>
    <w:uiPriority w:val="99"/>
    <w:pPr>
      <w:pBdr/>
      <w:spacing/>
      <w:ind/>
    </w:pPr>
  </w:style>
  <w:style w:type="paragraph" w:styleId="1422">
    <w:name w:val="Footer"/>
    <w:basedOn w:val="1388"/>
    <w:link w:val="1425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1423">
    <w:name w:val="Footer Char"/>
    <w:basedOn w:val="1389"/>
    <w:link w:val="1422"/>
    <w:uiPriority w:val="99"/>
    <w:pPr>
      <w:pBdr/>
      <w:spacing/>
      <w:ind/>
    </w:pPr>
  </w:style>
  <w:style w:type="paragraph" w:styleId="1424">
    <w:name w:val="Caption"/>
    <w:basedOn w:val="1388"/>
    <w:next w:val="1388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1425">
    <w:name w:val="Caption Char"/>
    <w:basedOn w:val="1424"/>
    <w:link w:val="1422"/>
    <w:uiPriority w:val="99"/>
    <w:pPr>
      <w:pBdr/>
      <w:spacing/>
      <w:ind/>
    </w:pPr>
  </w:style>
  <w:style w:type="table" w:styleId="1426">
    <w:name w:val="Table Grid"/>
    <w:basedOn w:val="1410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7">
    <w:name w:val="Table Grid Light"/>
    <w:basedOn w:val="1410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8">
    <w:name w:val="Plain Table 1"/>
    <w:basedOn w:val="1410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9">
    <w:name w:val="Plain Table 2"/>
    <w:basedOn w:val="1410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0">
    <w:name w:val="Plain Table 3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1">
    <w:name w:val="Plain Table 4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2">
    <w:name w:val="Plain Table 5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3">
    <w:name w:val="Grid Table 1 Light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4">
    <w:name w:val="Grid Table 1 Light - Accent 1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5">
    <w:name w:val="Grid Table 1 Light - Accent 2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6">
    <w:name w:val="Grid Table 1 Light - Accent 3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7">
    <w:name w:val="Grid Table 1 Light - Accent 4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8">
    <w:name w:val="Grid Table 1 Light - Accent 5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9">
    <w:name w:val="Grid Table 1 Light - Accent 6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0">
    <w:name w:val="Grid Table 2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1">
    <w:name w:val="Grid Table 2 - Accent 1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2">
    <w:name w:val="Grid Table 2 - Accent 2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3">
    <w:name w:val="Grid Table 2 - Accent 3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4">
    <w:name w:val="Grid Table 2 - Accent 4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5">
    <w:name w:val="Grid Table 2 - Accent 5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6">
    <w:name w:val="Grid Table 2 - Accent 6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7">
    <w:name w:val="Grid Table 3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8">
    <w:name w:val="Grid Table 3 - Accent 1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9">
    <w:name w:val="Grid Table 3 - Accent 2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0">
    <w:name w:val="Grid Table 3 - Accent 3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1">
    <w:name w:val="Grid Table 3 - Accent 4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2">
    <w:name w:val="Grid Table 3 - Accent 5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3">
    <w:name w:val="Grid Table 3 - Accent 6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4">
    <w:name w:val="Grid Table 4"/>
    <w:basedOn w:val="141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5">
    <w:name w:val="Grid Table 4 - Accent 1"/>
    <w:basedOn w:val="141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6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6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6">
    <w:name w:val="Grid Table 4 - Accent 2"/>
    <w:basedOn w:val="141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7">
    <w:name w:val="Grid Table 4 - Accent 3"/>
    <w:basedOn w:val="141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8">
    <w:name w:val="Grid Table 4 - Accent 4"/>
    <w:basedOn w:val="141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9">
    <w:name w:val="Grid Table 4 - Accent 5"/>
    <w:basedOn w:val="141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0">
    <w:name w:val="Grid Table 4 - Accent 6"/>
    <w:basedOn w:val="141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1">
    <w:name w:val="Grid Table 5 Dark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2">
    <w:name w:val="Grid Table 5 Dark- Accent 1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2eb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2eb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3">
    <w:name w:val="Grid Table 5 Dark - Accent 2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6c3a1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6c3a1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4">
    <w:name w:val="Grid Table 5 Dark - Accent 3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5">
    <w:name w:val="Grid Table 5 Dark- Accent 4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ee189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ee189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6">
    <w:name w:val="Grid Table 5 Dark - Accent 5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abfe3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abfe3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7">
    <w:name w:val="Grid Table 5 Dark - Accent 6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e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e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8">
    <w:name w:val="Grid Table 6 Colorful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69">
    <w:name w:val="Grid Table 6 Colorful - Accent 1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70">
    <w:name w:val="Grid Table 6 Colorful - Accent 2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71">
    <w:name w:val="Grid Table 6 Colorful - Accent 3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72">
    <w:name w:val="Grid Table 6 Colorful - Accent 4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73">
    <w:name w:val="Grid Table 6 Colorful - Accent 5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74">
    <w:name w:val="Grid Table 6 Colorful - Accent 6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75">
    <w:name w:val="Grid Table 7 Colorful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76">
    <w:name w:val="Grid Table 7 Colorful - Accent 1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77">
    <w:name w:val="Grid Table 7 Colorful - Accent 2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78">
    <w:name w:val="Grid Table 7 Colorful - Accent 3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79">
    <w:name w:val="Grid Table 7 Colorful - Accent 4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80">
    <w:name w:val="Grid Table 7 Colorful - Accent 5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rPr>
        <w:rFonts w:ascii="Arial" w:hAnsi="Arial"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81">
    <w:name w:val="Grid Table 7 Colorful - Accent 6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rPr>
        <w:rFonts w:ascii="Arial" w:hAnsi="Arial"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82">
    <w:name w:val="List Table 1 Light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83">
    <w:name w:val="List Table 1 Light - Accent 1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84">
    <w:name w:val="List Table 1 Light - Accent 2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85">
    <w:name w:val="List Table 1 Light - Accent 3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86">
    <w:name w:val="List Table 1 Light - Accent 4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87">
    <w:name w:val="List Table 1 Light - Accent 5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88">
    <w:name w:val="List Table 1 Light - Accent 6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89">
    <w:name w:val="List Table 2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90">
    <w:name w:val="List Table 2 - Accent 1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91">
    <w:name w:val="List Table 2 - Accent 2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92">
    <w:name w:val="List Table 2 - Accent 3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93">
    <w:name w:val="List Table 2 - Accent 4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94">
    <w:name w:val="List Table 2 - Accent 5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95">
    <w:name w:val="List Table 2 - Accent 6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96">
    <w:name w:val="List Table 3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97">
    <w:name w:val="List Table 3 - Accent 1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98">
    <w:name w:val="List Table 3 - Accent 2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99">
    <w:name w:val="List Table 3 - Accent 3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0">
    <w:name w:val="List Table 3 - Accent 4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1">
    <w:name w:val="List Table 3 - Accent 5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2">
    <w:name w:val="List Table 3 - Accent 6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3">
    <w:name w:val="List Table 4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4">
    <w:name w:val="List Table 4 - Accent 1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5">
    <w:name w:val="List Table 4 - Accent 2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6">
    <w:name w:val="List Table 4 - Accent 3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7">
    <w:name w:val="List Table 4 - Accent 4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8">
    <w:name w:val="List Table 4 - Accent 5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9">
    <w:name w:val="List Table 4 - Accent 6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10">
    <w:name w:val="List Table 5 Dark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11">
    <w:name w:val="List Table 5 Dark - Accent 1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12">
    <w:name w:val="List Table 5 Dark - Accent 2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13">
    <w:name w:val="List Table 5 Dark - Accent 3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14">
    <w:name w:val="List Table 5 Dark - Accent 4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15">
    <w:name w:val="List Table 5 Dark - Accent 5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16">
    <w:name w:val="List Table 5 Dark - Accent 6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17">
    <w:name w:val="List Table 6 Colorful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18">
    <w:name w:val="List Table 6 Colorful - Accent 1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19">
    <w:name w:val="List Table 6 Colorful - Accent 2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20">
    <w:name w:val="List Table 6 Colorful - Accent 3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21">
    <w:name w:val="List Table 6 Colorful - Accent 4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22">
    <w:name w:val="List Table 6 Colorful - Accent 5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23">
    <w:name w:val="List Table 6 Colorful - Accent 6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24">
    <w:name w:val="List Table 7 Colorful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25">
    <w:name w:val="List Table 7 Colorful - Accent 1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rPr>
        <w:rFonts w:ascii="Arial" w:hAnsi="Arial"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26">
    <w:name w:val="List Table 7 Colorful - Accent 2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27">
    <w:name w:val="List Table 7 Colorful - Accent 3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28">
    <w:name w:val="List Table 7 Colorful - Accent 4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29">
    <w:name w:val="List Table 7 Colorful - Accent 5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30">
    <w:name w:val="List Table 7 Colorful - Accent 6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31">
    <w:name w:val="Lined - Accent"/>
    <w:basedOn w:val="141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32">
    <w:name w:val="Lined - Accent 1"/>
    <w:basedOn w:val="141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1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1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33">
    <w:name w:val="Lined - Accent 2"/>
    <w:basedOn w:val="141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34">
    <w:name w:val="Lined - Accent 3"/>
    <w:basedOn w:val="141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35">
    <w:name w:val="Lined - Accent 4"/>
    <w:basedOn w:val="141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36">
    <w:name w:val="Lined - Accent 5"/>
    <w:basedOn w:val="141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37">
    <w:name w:val="Lined - Accent 6"/>
    <w:basedOn w:val="141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38">
    <w:name w:val="Bordered &amp; Lined - Accent"/>
    <w:basedOn w:val="141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39">
    <w:name w:val="Bordered &amp; Lined - Accent 1"/>
    <w:basedOn w:val="141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1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1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0">
    <w:name w:val="Bordered &amp; Lined - Accent 2"/>
    <w:basedOn w:val="141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1">
    <w:name w:val="Bordered &amp; Lined - Accent 3"/>
    <w:basedOn w:val="141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2">
    <w:name w:val="Bordered &amp; Lined - Accent 4"/>
    <w:basedOn w:val="141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3">
    <w:name w:val="Bordered &amp; Lined - Accent 5"/>
    <w:basedOn w:val="141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4">
    <w:name w:val="Bordered &amp; Lined - Accent 6"/>
    <w:basedOn w:val="141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5">
    <w:name w:val="Bordered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6">
    <w:name w:val="Bordered - Accent 1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7">
    <w:name w:val="Bordered - Accent 2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8">
    <w:name w:val="Bordered - Accent 3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9">
    <w:name w:val="Bordered - Accent 4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50">
    <w:name w:val="Bordered - Accent 5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51">
    <w:name w:val="Bordered - Accent 6"/>
    <w:basedOn w:val="14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552">
    <w:name w:val="Hyperlink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1553">
    <w:name w:val="footnote text"/>
    <w:basedOn w:val="1388"/>
    <w:link w:val="1554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1554">
    <w:name w:val="Footnote Text Char"/>
    <w:link w:val="1553"/>
    <w:uiPriority w:val="99"/>
    <w:pPr>
      <w:pBdr/>
      <w:spacing/>
      <w:ind/>
    </w:pPr>
    <w:rPr>
      <w:sz w:val="18"/>
    </w:rPr>
  </w:style>
  <w:style w:type="character" w:styleId="1555">
    <w:name w:val="footnote reference"/>
    <w:basedOn w:val="1389"/>
    <w:uiPriority w:val="99"/>
    <w:unhideWhenUsed/>
    <w:pPr>
      <w:pBdr/>
      <w:spacing/>
      <w:ind/>
    </w:pPr>
    <w:rPr>
      <w:vertAlign w:val="superscript"/>
    </w:rPr>
  </w:style>
  <w:style w:type="paragraph" w:styleId="1556">
    <w:name w:val="endnote text"/>
    <w:basedOn w:val="1388"/>
    <w:link w:val="1557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1557">
    <w:name w:val="Endnote Text Char"/>
    <w:link w:val="1556"/>
    <w:uiPriority w:val="99"/>
    <w:pPr>
      <w:pBdr/>
      <w:spacing/>
      <w:ind/>
    </w:pPr>
    <w:rPr>
      <w:sz w:val="20"/>
    </w:rPr>
  </w:style>
  <w:style w:type="character" w:styleId="1558">
    <w:name w:val="endnote reference"/>
    <w:basedOn w:val="1389"/>
    <w:uiPriority w:val="99"/>
    <w:semiHidden/>
    <w:unhideWhenUsed/>
    <w:pPr>
      <w:pBdr/>
      <w:spacing/>
      <w:ind/>
    </w:pPr>
    <w:rPr>
      <w:vertAlign w:val="superscript"/>
    </w:rPr>
  </w:style>
  <w:style w:type="paragraph" w:styleId="1559">
    <w:name w:val="toc 1"/>
    <w:basedOn w:val="1388"/>
    <w:next w:val="1388"/>
    <w:uiPriority w:val="39"/>
    <w:unhideWhenUsed/>
    <w:pPr>
      <w:pBdr/>
      <w:spacing w:after="57"/>
      <w:ind w:right="0" w:firstLine="0" w:left="0"/>
    </w:pPr>
  </w:style>
  <w:style w:type="paragraph" w:styleId="1560">
    <w:name w:val="toc 2"/>
    <w:basedOn w:val="1388"/>
    <w:next w:val="1388"/>
    <w:uiPriority w:val="39"/>
    <w:unhideWhenUsed/>
    <w:pPr>
      <w:pBdr/>
      <w:spacing w:after="57"/>
      <w:ind w:right="0" w:firstLine="0" w:left="283"/>
    </w:pPr>
  </w:style>
  <w:style w:type="paragraph" w:styleId="1561">
    <w:name w:val="toc 3"/>
    <w:basedOn w:val="1388"/>
    <w:next w:val="1388"/>
    <w:uiPriority w:val="39"/>
    <w:unhideWhenUsed/>
    <w:pPr>
      <w:pBdr/>
      <w:spacing w:after="57"/>
      <w:ind w:right="0" w:firstLine="0" w:left="567"/>
    </w:pPr>
  </w:style>
  <w:style w:type="paragraph" w:styleId="1562">
    <w:name w:val="toc 4"/>
    <w:basedOn w:val="1388"/>
    <w:next w:val="1388"/>
    <w:uiPriority w:val="39"/>
    <w:unhideWhenUsed/>
    <w:pPr>
      <w:pBdr/>
      <w:spacing w:after="57"/>
      <w:ind w:right="0" w:firstLine="0" w:left="850"/>
    </w:pPr>
  </w:style>
  <w:style w:type="paragraph" w:styleId="1563">
    <w:name w:val="toc 5"/>
    <w:basedOn w:val="1388"/>
    <w:next w:val="1388"/>
    <w:uiPriority w:val="39"/>
    <w:unhideWhenUsed/>
    <w:pPr>
      <w:pBdr/>
      <w:spacing w:after="57"/>
      <w:ind w:right="0" w:firstLine="0" w:left="1134"/>
    </w:pPr>
  </w:style>
  <w:style w:type="paragraph" w:styleId="1564">
    <w:name w:val="toc 6"/>
    <w:basedOn w:val="1388"/>
    <w:next w:val="1388"/>
    <w:uiPriority w:val="39"/>
    <w:unhideWhenUsed/>
    <w:pPr>
      <w:pBdr/>
      <w:spacing w:after="57"/>
      <w:ind w:right="0" w:firstLine="0" w:left="1417"/>
    </w:pPr>
  </w:style>
  <w:style w:type="paragraph" w:styleId="1565">
    <w:name w:val="toc 7"/>
    <w:basedOn w:val="1388"/>
    <w:next w:val="1388"/>
    <w:uiPriority w:val="39"/>
    <w:unhideWhenUsed/>
    <w:pPr>
      <w:pBdr/>
      <w:spacing w:after="57"/>
      <w:ind w:right="0" w:firstLine="0" w:left="1701"/>
    </w:pPr>
  </w:style>
  <w:style w:type="paragraph" w:styleId="1566">
    <w:name w:val="toc 8"/>
    <w:basedOn w:val="1388"/>
    <w:next w:val="1388"/>
    <w:uiPriority w:val="39"/>
    <w:unhideWhenUsed/>
    <w:pPr>
      <w:pBdr/>
      <w:spacing w:after="57"/>
      <w:ind w:right="0" w:firstLine="0" w:left="1984"/>
    </w:pPr>
  </w:style>
  <w:style w:type="paragraph" w:styleId="1567">
    <w:name w:val="toc 9"/>
    <w:basedOn w:val="1388"/>
    <w:next w:val="1388"/>
    <w:uiPriority w:val="39"/>
    <w:unhideWhenUsed/>
    <w:pPr>
      <w:pBdr/>
      <w:spacing w:after="57"/>
      <w:ind w:right="0" w:firstLine="0" w:left="2268"/>
    </w:pPr>
  </w:style>
  <w:style w:type="paragraph" w:styleId="1568">
    <w:name w:val="TOC Heading"/>
    <w:uiPriority w:val="39"/>
    <w:unhideWhenUsed/>
    <w:pPr>
      <w:pBdr/>
      <w:spacing/>
      <w:ind/>
    </w:pPr>
  </w:style>
  <w:style w:type="paragraph" w:styleId="1569">
    <w:name w:val="table of figures"/>
    <w:basedOn w:val="1388"/>
    <w:next w:val="1388"/>
    <w:uiPriority w:val="99"/>
    <w:unhideWhenUsed/>
    <w:pPr>
      <w:pBdr/>
      <w:spacing w:after="0" w:afterAutospacing="0"/>
      <w:ind/>
    </w:pPr>
  </w:style>
</w:styles>
</file>

<file path=word/glossary/webSettings.xml><?xml version="1.0" encoding="utf-8"?>
<w:webSettings xmlns:w="http://schemas.openxmlformats.org/wordprocessingml/2006/main">
  <w:optimizeForBrowser/>
</w:webSetting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ONLYOFFICE/7.5.1.23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11</cp:revision>
  <dcterms:created xsi:type="dcterms:W3CDTF">2024-12-02T10:58:00Z</dcterms:created>
  <dcterms:modified xsi:type="dcterms:W3CDTF">2024-12-06T09:56:41Z</dcterms:modified>
</cp:coreProperties>
</file>